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5"/>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firstLine="0" w:firstLineChars="0"/>
        <w:jc w:val="center"/>
        <w:textAlignment w:val="auto"/>
        <w:rPr>
          <w:rFonts w:hint="eastAsia" w:ascii="Times New Roman" w:hAnsi="Times New Roman" w:eastAsia="仿宋" w:cs="Times New Roman"/>
          <w:b/>
          <w:bCs/>
          <w:color w:val="000000"/>
          <w:sz w:val="52"/>
          <w:szCs w:val="52"/>
          <w:lang w:val="en-US" w:eastAsia="zh-CN"/>
        </w:rPr>
      </w:pPr>
    </w:p>
    <w:p>
      <w:pPr>
        <w:pStyle w:val="15"/>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firstLine="0" w:firstLineChars="0"/>
        <w:jc w:val="center"/>
        <w:textAlignment w:val="auto"/>
        <w:rPr>
          <w:rFonts w:hint="eastAsia" w:ascii="Times New Roman" w:hAnsi="Times New Roman" w:eastAsia="仿宋" w:cs="Times New Roman"/>
          <w:b/>
          <w:bCs/>
          <w:color w:val="auto"/>
          <w:sz w:val="52"/>
          <w:szCs w:val="52"/>
          <w:lang w:val="en-US" w:eastAsia="zh-CN"/>
        </w:rPr>
      </w:pPr>
    </w:p>
    <w:p>
      <w:pPr>
        <w:pStyle w:val="15"/>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firstLine="0" w:firstLineChars="0"/>
        <w:jc w:val="center"/>
        <w:textAlignment w:val="auto"/>
        <w:outlineLvl w:val="0"/>
        <w:rPr>
          <w:rFonts w:hint="default" w:ascii="Times New Roman" w:hAnsi="Times New Roman" w:eastAsia="仿宋" w:cs="Times New Roman"/>
          <w:b/>
          <w:bCs/>
          <w:color w:val="auto"/>
          <w:sz w:val="52"/>
          <w:szCs w:val="52"/>
          <w:lang w:val="en-US" w:eastAsia="zh-CN"/>
        </w:rPr>
      </w:pPr>
      <w:bookmarkStart w:id="0" w:name="_Toc17044"/>
      <w:r>
        <w:rPr>
          <w:rFonts w:hint="eastAsia" w:ascii="Times New Roman" w:hAnsi="Times New Roman" w:eastAsia="仿宋" w:cs="Times New Roman"/>
          <w:b/>
          <w:bCs/>
          <w:color w:val="auto"/>
          <w:sz w:val="52"/>
          <w:szCs w:val="52"/>
          <w:lang w:val="en-US" w:eastAsia="zh-CN"/>
        </w:rPr>
        <w:t>九冶钢结构有限公司</w:t>
      </w:r>
      <w:bookmarkEnd w:id="0"/>
    </w:p>
    <w:p>
      <w:pPr>
        <w:pStyle w:val="15"/>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firstLine="0" w:firstLineChars="0"/>
        <w:jc w:val="center"/>
        <w:textAlignment w:val="auto"/>
        <w:outlineLvl w:val="0"/>
        <w:rPr>
          <w:rFonts w:hint="default" w:ascii="Times New Roman" w:hAnsi="Times New Roman" w:eastAsia="仿宋" w:cs="Times New Roman"/>
          <w:b/>
          <w:bCs/>
          <w:color w:val="auto"/>
          <w:sz w:val="52"/>
          <w:szCs w:val="52"/>
        </w:rPr>
      </w:pPr>
      <w:bookmarkStart w:id="1" w:name="_Toc27980"/>
      <w:bookmarkStart w:id="2" w:name="_Toc1030"/>
      <w:r>
        <w:rPr>
          <w:rFonts w:hint="default" w:ascii="Times New Roman" w:hAnsi="Times New Roman" w:eastAsia="仿宋" w:cs="Times New Roman"/>
          <w:b/>
          <w:bCs/>
          <w:color w:val="auto"/>
          <w:kern w:val="2"/>
          <w:sz w:val="52"/>
          <w:szCs w:val="52"/>
        </w:rPr>
        <w:t>突发环境事件</w:t>
      </w:r>
      <w:r>
        <w:rPr>
          <w:rFonts w:hint="default" w:ascii="Times New Roman" w:hAnsi="Times New Roman" w:eastAsia="仿宋" w:cs="Times New Roman"/>
          <w:b/>
          <w:bCs/>
          <w:color w:val="auto"/>
          <w:sz w:val="52"/>
          <w:szCs w:val="52"/>
        </w:rPr>
        <w:t>风险评估报告</w:t>
      </w:r>
      <w:bookmarkEnd w:id="1"/>
      <w:bookmarkEnd w:id="2"/>
    </w:p>
    <w:p>
      <w:pPr>
        <w:ind w:firstLine="420" w:firstLineChars="200"/>
        <w:jc w:val="center"/>
        <w:rPr>
          <w:rFonts w:hint="default" w:ascii="Times New Roman" w:hAnsi="Times New Roman" w:eastAsia="仿宋" w:cs="Times New Roman"/>
          <w:color w:val="auto"/>
        </w:rPr>
      </w:pPr>
    </w:p>
    <w:p>
      <w:pPr>
        <w:ind w:firstLine="420" w:firstLineChars="200"/>
        <w:jc w:val="center"/>
        <w:rPr>
          <w:rFonts w:hint="default" w:ascii="Times New Roman" w:hAnsi="Times New Roman" w:eastAsia="仿宋" w:cs="Times New Roman"/>
          <w:color w:val="auto"/>
        </w:rPr>
      </w:pPr>
    </w:p>
    <w:p>
      <w:pPr>
        <w:ind w:firstLine="420" w:firstLineChars="200"/>
        <w:jc w:val="center"/>
        <w:rPr>
          <w:rFonts w:hint="default" w:ascii="Times New Roman" w:hAnsi="Times New Roman" w:eastAsia="仿宋" w:cs="Times New Roman"/>
          <w:color w:val="auto"/>
        </w:rPr>
      </w:pPr>
    </w:p>
    <w:p>
      <w:pPr>
        <w:ind w:firstLine="420" w:firstLineChars="200"/>
        <w:jc w:val="center"/>
        <w:rPr>
          <w:rFonts w:hint="default" w:ascii="Times New Roman" w:hAnsi="Times New Roman" w:eastAsia="仿宋" w:cs="Times New Roman"/>
          <w:color w:val="auto"/>
        </w:rPr>
      </w:pPr>
    </w:p>
    <w:p>
      <w:pPr>
        <w:ind w:firstLine="420" w:firstLineChars="200"/>
        <w:rPr>
          <w:rFonts w:hint="default" w:ascii="Times New Roman" w:hAnsi="Times New Roman" w:eastAsia="仿宋" w:cs="Times New Roman"/>
          <w:color w:val="auto"/>
        </w:rPr>
      </w:pPr>
    </w:p>
    <w:p>
      <w:pPr>
        <w:pStyle w:val="14"/>
        <w:rPr>
          <w:rFonts w:hint="default"/>
          <w:color w:val="auto"/>
        </w:rPr>
      </w:pPr>
    </w:p>
    <w:p>
      <w:pPr>
        <w:ind w:firstLine="420" w:firstLineChars="200"/>
        <w:rPr>
          <w:rFonts w:hint="default" w:ascii="Times New Roman" w:hAnsi="Times New Roman" w:eastAsia="仿宋" w:cs="Times New Roman"/>
          <w:color w:val="auto"/>
        </w:rPr>
      </w:pPr>
    </w:p>
    <w:p>
      <w:pPr>
        <w:ind w:firstLine="420" w:firstLineChars="200"/>
        <w:rPr>
          <w:rFonts w:hint="default" w:ascii="Times New Roman" w:hAnsi="Times New Roman" w:eastAsia="仿宋" w:cs="Times New Roman"/>
          <w:color w:val="auto"/>
        </w:rPr>
      </w:pPr>
    </w:p>
    <w:p>
      <w:pPr>
        <w:ind w:firstLine="420" w:firstLineChars="200"/>
        <w:rPr>
          <w:rFonts w:hint="default" w:ascii="Times New Roman" w:hAnsi="Times New Roman" w:eastAsia="仿宋" w:cs="Times New Roman"/>
          <w:color w:val="auto"/>
        </w:rPr>
      </w:pPr>
    </w:p>
    <w:p>
      <w:pPr>
        <w:ind w:firstLine="420" w:firstLineChars="200"/>
        <w:rPr>
          <w:rFonts w:hint="default" w:ascii="Times New Roman" w:hAnsi="Times New Roman" w:eastAsia="仿宋" w:cs="Times New Roman"/>
          <w:color w:val="auto"/>
        </w:rPr>
      </w:pPr>
    </w:p>
    <w:p>
      <w:pPr>
        <w:ind w:firstLine="420" w:firstLineChars="200"/>
        <w:rPr>
          <w:rFonts w:hint="default" w:ascii="Times New Roman" w:hAnsi="Times New Roman" w:eastAsia="仿宋" w:cs="Times New Roman"/>
          <w:color w:val="auto"/>
        </w:rPr>
      </w:pPr>
    </w:p>
    <w:p>
      <w:pPr>
        <w:ind w:firstLine="420" w:firstLineChars="200"/>
        <w:rPr>
          <w:rFonts w:hint="default" w:ascii="Times New Roman" w:hAnsi="Times New Roman" w:eastAsia="仿宋" w:cs="Times New Roman"/>
          <w:color w:val="auto"/>
        </w:rPr>
      </w:pPr>
    </w:p>
    <w:p>
      <w:pPr>
        <w:tabs>
          <w:tab w:val="left" w:pos="2340"/>
          <w:tab w:val="left" w:pos="2880"/>
        </w:tabs>
        <w:spacing w:line="720" w:lineRule="exact"/>
        <w:ind w:firstLine="480" w:firstLineChars="200"/>
        <w:rPr>
          <w:rFonts w:hint="default" w:ascii="Times New Roman" w:hAnsi="Times New Roman" w:eastAsia="仿宋" w:cs="Times New Roman"/>
          <w:color w:val="auto"/>
          <w:sz w:val="24"/>
        </w:rPr>
      </w:pPr>
    </w:p>
    <w:p>
      <w:pPr>
        <w:ind w:firstLine="420" w:firstLineChars="200"/>
        <w:rPr>
          <w:rFonts w:hint="default" w:ascii="Times New Roman" w:hAnsi="Times New Roman" w:eastAsia="仿宋" w:cs="Times New Roman"/>
          <w:color w:val="auto"/>
        </w:rPr>
      </w:pPr>
    </w:p>
    <w:p>
      <w:pPr>
        <w:ind w:firstLine="420" w:firstLineChars="200"/>
        <w:rPr>
          <w:rFonts w:hint="default" w:ascii="Times New Roman" w:hAnsi="Times New Roman" w:eastAsia="仿宋" w:cs="Times New Roman"/>
          <w:color w:val="auto"/>
        </w:rPr>
      </w:pPr>
    </w:p>
    <w:p>
      <w:pPr>
        <w:rPr>
          <w:rFonts w:hint="default" w:ascii="Times New Roman" w:hAnsi="Times New Roman" w:eastAsia="仿宋" w:cs="Times New Roman"/>
          <w:color w:val="auto"/>
        </w:rPr>
      </w:pPr>
    </w:p>
    <w:p>
      <w:pPr>
        <w:ind w:firstLine="420" w:firstLineChars="200"/>
        <w:rPr>
          <w:rFonts w:hint="default" w:ascii="Times New Roman" w:hAnsi="Times New Roman" w:eastAsia="仿宋" w:cs="Times New Roman"/>
          <w:color w:val="auto"/>
        </w:rPr>
      </w:pPr>
    </w:p>
    <w:p>
      <w:pPr>
        <w:ind w:firstLine="420" w:firstLineChars="200"/>
        <w:rPr>
          <w:rFonts w:hint="default" w:ascii="Times New Roman" w:hAnsi="Times New Roman" w:eastAsia="仿宋" w:cs="Times New Roman"/>
          <w:color w:val="auto"/>
        </w:rPr>
      </w:pPr>
    </w:p>
    <w:p>
      <w:pPr>
        <w:spacing w:line="360" w:lineRule="auto"/>
        <w:jc w:val="center"/>
        <w:rPr>
          <w:rFonts w:hint="default" w:ascii="Times New Roman" w:hAnsi="Times New Roman" w:eastAsia="仿宋" w:cs="Times New Roman"/>
          <w:b/>
          <w:bCs/>
          <w:color w:val="auto"/>
          <w:sz w:val="36"/>
          <w:szCs w:val="36"/>
          <w:lang w:eastAsia="zh-CN"/>
        </w:rPr>
      </w:pPr>
    </w:p>
    <w:p>
      <w:pPr>
        <w:spacing w:line="360" w:lineRule="auto"/>
        <w:jc w:val="center"/>
        <w:outlineLvl w:val="0"/>
        <w:rPr>
          <w:rFonts w:hint="default" w:ascii="Times New Roman" w:hAnsi="Times New Roman" w:eastAsia="仿宋" w:cs="Times New Roman"/>
          <w:b/>
          <w:color w:val="auto"/>
          <w:kern w:val="2"/>
          <w:sz w:val="36"/>
          <w:szCs w:val="36"/>
        </w:rPr>
      </w:pPr>
      <w:bookmarkStart w:id="3" w:name="_Toc24079"/>
      <w:r>
        <w:rPr>
          <w:rFonts w:hint="default" w:ascii="Times New Roman" w:hAnsi="Times New Roman" w:eastAsia="仿宋" w:cs="Times New Roman"/>
          <w:b/>
          <w:bCs/>
          <w:color w:val="auto"/>
          <w:sz w:val="36"/>
          <w:szCs w:val="36"/>
          <w:lang w:eastAsia="zh-CN"/>
        </w:rPr>
        <w:t>九冶钢结构有限公司</w:t>
      </w:r>
      <w:bookmarkEnd w:id="3"/>
    </w:p>
    <w:p>
      <w:pPr>
        <w:pStyle w:val="15"/>
        <w:widowControl w:val="0"/>
        <w:spacing w:before="0" w:beforeAutospacing="0" w:after="0" w:afterAutospacing="0" w:line="480" w:lineRule="auto"/>
        <w:ind w:firstLine="2530" w:firstLineChars="700"/>
        <w:jc w:val="both"/>
        <w:outlineLvl w:val="0"/>
        <w:rPr>
          <w:rFonts w:hint="default"/>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bookmarkStart w:id="4" w:name="_Toc22688"/>
      <w:bookmarkStart w:id="5" w:name="_Toc3256"/>
      <w:r>
        <w:rPr>
          <w:rFonts w:hint="default" w:ascii="Times New Roman" w:hAnsi="Times New Roman" w:eastAsia="仿宋" w:cs="Times New Roman"/>
          <w:b/>
          <w:color w:val="auto"/>
          <w:kern w:val="2"/>
          <w:sz w:val="36"/>
          <w:szCs w:val="36"/>
        </w:rPr>
        <w:t>二O二</w:t>
      </w:r>
      <w:r>
        <w:rPr>
          <w:rFonts w:hint="default" w:ascii="Times New Roman" w:hAnsi="Times New Roman" w:eastAsia="仿宋" w:cs="Times New Roman"/>
          <w:b/>
          <w:color w:val="auto"/>
          <w:kern w:val="2"/>
          <w:sz w:val="36"/>
          <w:szCs w:val="36"/>
          <w:lang w:val="en-US" w:eastAsia="zh-CN"/>
        </w:rPr>
        <w:t>二</w:t>
      </w:r>
      <w:r>
        <w:rPr>
          <w:rFonts w:hint="default" w:ascii="Times New Roman" w:hAnsi="Times New Roman" w:eastAsia="仿宋" w:cs="Times New Roman"/>
          <w:b/>
          <w:color w:val="auto"/>
          <w:kern w:val="2"/>
          <w:sz w:val="36"/>
          <w:szCs w:val="36"/>
        </w:rPr>
        <w:t>年</w:t>
      </w:r>
      <w:r>
        <w:rPr>
          <w:rFonts w:hint="eastAsia" w:ascii="Times New Roman" w:hAnsi="Times New Roman" w:eastAsia="仿宋" w:cs="Times New Roman"/>
          <w:b/>
          <w:color w:val="auto"/>
          <w:kern w:val="2"/>
          <w:sz w:val="36"/>
          <w:szCs w:val="36"/>
          <w:lang w:val="en-US" w:eastAsia="zh-CN"/>
        </w:rPr>
        <w:t>十</w:t>
      </w:r>
      <w:r>
        <w:rPr>
          <w:rFonts w:hint="default" w:ascii="Times New Roman" w:hAnsi="Times New Roman" w:eastAsia="仿宋" w:cs="Times New Roman"/>
          <w:b/>
          <w:color w:val="auto"/>
          <w:kern w:val="2"/>
          <w:sz w:val="36"/>
          <w:szCs w:val="36"/>
        </w:rPr>
        <w:t>月</w:t>
      </w:r>
      <w:bookmarkEnd w:id="4"/>
      <w:bookmarkEnd w:id="5"/>
    </w:p>
    <w:p>
      <w:pPr>
        <w:ind w:left="0" w:leftChars="0" w:firstLine="0" w:firstLineChars="0"/>
        <w:rPr>
          <w:rFonts w:hint="default"/>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spacing w:before="0" w:beforeLines="0" w:after="0" w:afterLines="0" w:line="240" w:lineRule="auto"/>
        <w:ind w:left="0" w:leftChars="0" w:right="0" w:rightChars="0" w:firstLine="0" w:firstLineChars="0"/>
        <w:jc w:val="both"/>
        <w:rPr>
          <w:rFonts w:hint="default" w:ascii="Times New Roman" w:hAnsi="Times New Roman" w:eastAsia="仿宋" w:cs="Times New Roman"/>
          <w:color w:val="auto"/>
          <w:kern w:val="2"/>
          <w:sz w:val="28"/>
          <w:szCs w:val="28"/>
          <w:lang w:val="en-US" w:eastAsia="zh-CN" w:bidi="ar-SA"/>
        </w:rPr>
      </w:pPr>
    </w:p>
    <w:sdt>
      <w:sdtPr>
        <w:rPr>
          <w:rFonts w:hint="default" w:ascii="Times New Roman" w:hAnsi="Times New Roman" w:eastAsia="仿宋" w:cs="Times New Roman"/>
          <w:color w:val="auto"/>
          <w:kern w:val="2"/>
          <w:sz w:val="28"/>
          <w:szCs w:val="28"/>
          <w:lang w:val="en-US" w:eastAsia="zh-CN" w:bidi="ar-SA"/>
        </w:rPr>
        <w:id w:val="147458357"/>
        <w15:color w:val="DBDBDB"/>
        <w:docPartObj>
          <w:docPartGallery w:val="Table of Contents"/>
          <w:docPartUnique/>
        </w:docPartObj>
      </w:sdtPr>
      <w:sdtEndPr>
        <w:rPr>
          <w:rFonts w:hint="eastAsia" w:ascii="Arial" w:hAnsi="Arial" w:eastAsia="黑体" w:cstheme="minorBidi"/>
          <w:b/>
          <w:color w:val="auto"/>
          <w:kern w:val="2"/>
          <w:sz w:val="32"/>
          <w:szCs w:val="24"/>
          <w:lang w:val="en-US" w:eastAsia="zh-CN" w:bidi="ar-SA"/>
        </w:rPr>
      </w:sdtEndPr>
      <w:sdtContent>
        <w:p>
          <w:pPr>
            <w:spacing w:before="0" w:beforeLines="0" w:after="0" w:afterLines="0" w:line="240" w:lineRule="auto"/>
            <w:ind w:left="0" w:leftChars="0" w:right="0" w:rightChars="0" w:firstLine="0" w:firstLineChars="0"/>
            <w:jc w:val="center"/>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rPr>
            <w:t>目</w:t>
          </w:r>
          <w:r>
            <w:rPr>
              <w:rFonts w:hint="default" w:ascii="Times New Roman" w:hAnsi="Times New Roman" w:eastAsia="仿宋" w:cs="Times New Roman"/>
              <w:color w:val="auto"/>
              <w:sz w:val="24"/>
              <w:szCs w:val="24"/>
              <w:lang w:val="en-US" w:eastAsia="zh-CN"/>
            </w:rPr>
            <w:t xml:space="preserve"> </w:t>
          </w:r>
          <w:r>
            <w:rPr>
              <w:rFonts w:hint="default" w:ascii="Times New Roman" w:hAnsi="Times New Roman" w:eastAsia="仿宋" w:cs="Times New Roman"/>
              <w:color w:val="auto"/>
              <w:sz w:val="24"/>
              <w:szCs w:val="24"/>
            </w:rPr>
            <w:t>录</w:t>
          </w: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color w:val="auto"/>
              <w:sz w:val="24"/>
              <w:szCs w:val="24"/>
              <w:lang w:eastAsia="zh-CN"/>
            </w:rPr>
            <w:instrText xml:space="preserve">TOC \o "1-2" \h \u </w:instrText>
          </w:r>
          <w:r>
            <w:rPr>
              <w:rFonts w:hint="default" w:ascii="Times New Roman" w:hAnsi="Times New Roman" w:eastAsia="仿宋" w:cs="Times New Roman"/>
              <w:color w:val="auto"/>
              <w:sz w:val="24"/>
              <w:szCs w:val="24"/>
              <w:lang w:eastAsia="zh-CN"/>
            </w:rPr>
            <w:fldChar w:fldCharType="separate"/>
          </w:r>
        </w:p>
        <w:p>
          <w:pPr>
            <w:pStyle w:val="12"/>
            <w:tabs>
              <w:tab w:val="right" w:leader="dot" w:pos="8306"/>
            </w:tabs>
            <w:spacing w:line="360" w:lineRule="auto"/>
            <w:rPr>
              <w:rFonts w:hint="default" w:ascii="Times New Roman" w:hAnsi="Times New Roman" w:eastAsia="仿宋" w:cs="Times New Roman"/>
              <w:b/>
              <w:bCs/>
              <w:sz w:val="24"/>
              <w:szCs w:val="24"/>
            </w:rPr>
          </w:pPr>
          <w:r>
            <w:rPr>
              <w:rFonts w:hint="default" w:ascii="Times New Roman" w:hAnsi="Times New Roman" w:eastAsia="仿宋" w:cs="Times New Roman"/>
              <w:b/>
              <w:bCs/>
              <w:color w:val="auto"/>
              <w:sz w:val="24"/>
              <w:szCs w:val="24"/>
              <w:lang w:eastAsia="zh-CN"/>
            </w:rPr>
            <w:fldChar w:fldCharType="begin"/>
          </w:r>
          <w:r>
            <w:rPr>
              <w:rFonts w:hint="default" w:ascii="Times New Roman" w:hAnsi="Times New Roman" w:eastAsia="仿宋" w:cs="Times New Roman"/>
              <w:b/>
              <w:bCs/>
              <w:sz w:val="24"/>
              <w:szCs w:val="24"/>
              <w:lang w:eastAsia="zh-CN"/>
            </w:rPr>
            <w:instrText xml:space="preserve"> HYPERLINK \l _Toc7076 </w:instrText>
          </w:r>
          <w:r>
            <w:rPr>
              <w:rFonts w:hint="default" w:ascii="Times New Roman" w:hAnsi="Times New Roman" w:eastAsia="仿宋" w:cs="Times New Roman"/>
              <w:b/>
              <w:bCs/>
              <w:sz w:val="24"/>
              <w:szCs w:val="24"/>
              <w:lang w:eastAsia="zh-CN"/>
            </w:rPr>
            <w:fldChar w:fldCharType="separate"/>
          </w:r>
          <w:r>
            <w:rPr>
              <w:rFonts w:hint="default" w:ascii="Times New Roman" w:hAnsi="Times New Roman" w:eastAsia="仿宋" w:cs="Times New Roman"/>
              <w:b/>
              <w:bCs/>
              <w:sz w:val="24"/>
              <w:szCs w:val="24"/>
            </w:rPr>
            <w:t>1前言</w:t>
          </w:r>
          <w:r>
            <w:rPr>
              <w:rFonts w:hint="default" w:ascii="Times New Roman" w:hAnsi="Times New Roman" w:eastAsia="仿宋" w:cs="Times New Roman"/>
              <w:b/>
              <w:bCs/>
              <w:sz w:val="24"/>
              <w:szCs w:val="24"/>
            </w:rPr>
            <w:tab/>
          </w:r>
          <w:r>
            <w:rPr>
              <w:rFonts w:hint="default" w:ascii="Times New Roman" w:hAnsi="Times New Roman" w:eastAsia="仿宋" w:cs="Times New Roman"/>
              <w:b/>
              <w:bCs/>
              <w:sz w:val="24"/>
              <w:szCs w:val="24"/>
            </w:rPr>
            <w:fldChar w:fldCharType="begin"/>
          </w:r>
          <w:r>
            <w:rPr>
              <w:rFonts w:hint="default" w:ascii="Times New Roman" w:hAnsi="Times New Roman" w:eastAsia="仿宋" w:cs="Times New Roman"/>
              <w:b/>
              <w:bCs/>
              <w:sz w:val="24"/>
              <w:szCs w:val="24"/>
            </w:rPr>
            <w:instrText xml:space="preserve"> PAGEREF _Toc7076 \h </w:instrText>
          </w:r>
          <w:r>
            <w:rPr>
              <w:rFonts w:hint="default" w:ascii="Times New Roman" w:hAnsi="Times New Roman" w:eastAsia="仿宋" w:cs="Times New Roman"/>
              <w:b/>
              <w:bCs/>
              <w:sz w:val="24"/>
              <w:szCs w:val="24"/>
            </w:rPr>
            <w:fldChar w:fldCharType="separate"/>
          </w:r>
          <w:r>
            <w:rPr>
              <w:rFonts w:hint="default" w:ascii="Times New Roman" w:hAnsi="Times New Roman" w:eastAsia="仿宋" w:cs="Times New Roman"/>
              <w:b/>
              <w:bCs/>
              <w:sz w:val="24"/>
              <w:szCs w:val="24"/>
            </w:rPr>
            <w:t>1</w:t>
          </w:r>
          <w:r>
            <w:rPr>
              <w:rFonts w:hint="default" w:ascii="Times New Roman" w:hAnsi="Times New Roman" w:eastAsia="仿宋" w:cs="Times New Roman"/>
              <w:b/>
              <w:bCs/>
              <w:sz w:val="24"/>
              <w:szCs w:val="24"/>
            </w:rPr>
            <w:fldChar w:fldCharType="end"/>
          </w:r>
          <w:r>
            <w:rPr>
              <w:rFonts w:hint="default" w:ascii="Times New Roman" w:hAnsi="Times New Roman" w:eastAsia="仿宋" w:cs="Times New Roman"/>
              <w:b/>
              <w:bCs/>
              <w:color w:val="auto"/>
              <w:sz w:val="24"/>
              <w:szCs w:val="24"/>
              <w:lang w:eastAsia="zh-CN"/>
            </w:rPr>
            <w:fldChar w:fldCharType="end"/>
          </w:r>
        </w:p>
        <w:p>
          <w:pPr>
            <w:pStyle w:val="12"/>
            <w:tabs>
              <w:tab w:val="right" w:leader="dot" w:pos="8306"/>
            </w:tabs>
            <w:spacing w:line="360" w:lineRule="auto"/>
            <w:rPr>
              <w:rFonts w:hint="default" w:ascii="Times New Roman" w:hAnsi="Times New Roman" w:eastAsia="仿宋" w:cs="Times New Roman"/>
              <w:b/>
              <w:bCs/>
              <w:sz w:val="24"/>
              <w:szCs w:val="24"/>
            </w:rPr>
          </w:pPr>
          <w:r>
            <w:rPr>
              <w:rFonts w:hint="default" w:ascii="Times New Roman" w:hAnsi="Times New Roman" w:eastAsia="仿宋" w:cs="Times New Roman"/>
              <w:b/>
              <w:bCs/>
              <w:color w:val="auto"/>
              <w:sz w:val="24"/>
              <w:szCs w:val="24"/>
              <w:lang w:eastAsia="zh-CN"/>
            </w:rPr>
            <w:fldChar w:fldCharType="begin"/>
          </w:r>
          <w:r>
            <w:rPr>
              <w:rFonts w:hint="default" w:ascii="Times New Roman" w:hAnsi="Times New Roman" w:eastAsia="仿宋" w:cs="Times New Roman"/>
              <w:b/>
              <w:bCs/>
              <w:sz w:val="24"/>
              <w:szCs w:val="24"/>
              <w:lang w:eastAsia="zh-CN"/>
            </w:rPr>
            <w:instrText xml:space="preserve"> HYPERLINK \l _Toc27287 </w:instrText>
          </w:r>
          <w:r>
            <w:rPr>
              <w:rFonts w:hint="default" w:ascii="Times New Roman" w:hAnsi="Times New Roman" w:eastAsia="仿宋" w:cs="Times New Roman"/>
              <w:b/>
              <w:bCs/>
              <w:sz w:val="24"/>
              <w:szCs w:val="24"/>
              <w:lang w:eastAsia="zh-CN"/>
            </w:rPr>
            <w:fldChar w:fldCharType="separate"/>
          </w:r>
          <w:r>
            <w:rPr>
              <w:rFonts w:hint="default" w:ascii="Times New Roman" w:hAnsi="Times New Roman" w:eastAsia="仿宋" w:cs="Times New Roman"/>
              <w:b/>
              <w:bCs/>
              <w:sz w:val="24"/>
              <w:szCs w:val="24"/>
            </w:rPr>
            <w:t>2总则</w:t>
          </w:r>
          <w:r>
            <w:rPr>
              <w:rFonts w:hint="default" w:ascii="Times New Roman" w:hAnsi="Times New Roman" w:eastAsia="仿宋" w:cs="Times New Roman"/>
              <w:b/>
              <w:bCs/>
              <w:sz w:val="24"/>
              <w:szCs w:val="24"/>
            </w:rPr>
            <w:tab/>
          </w:r>
          <w:r>
            <w:rPr>
              <w:rFonts w:hint="default" w:ascii="Times New Roman" w:hAnsi="Times New Roman" w:eastAsia="仿宋" w:cs="Times New Roman"/>
              <w:b/>
              <w:bCs/>
              <w:sz w:val="24"/>
              <w:szCs w:val="24"/>
            </w:rPr>
            <w:fldChar w:fldCharType="begin"/>
          </w:r>
          <w:r>
            <w:rPr>
              <w:rFonts w:hint="default" w:ascii="Times New Roman" w:hAnsi="Times New Roman" w:eastAsia="仿宋" w:cs="Times New Roman"/>
              <w:b/>
              <w:bCs/>
              <w:sz w:val="24"/>
              <w:szCs w:val="24"/>
            </w:rPr>
            <w:instrText xml:space="preserve"> PAGEREF _Toc27287 \h </w:instrText>
          </w:r>
          <w:r>
            <w:rPr>
              <w:rFonts w:hint="default" w:ascii="Times New Roman" w:hAnsi="Times New Roman" w:eastAsia="仿宋" w:cs="Times New Roman"/>
              <w:b/>
              <w:bCs/>
              <w:sz w:val="24"/>
              <w:szCs w:val="24"/>
            </w:rPr>
            <w:fldChar w:fldCharType="separate"/>
          </w:r>
          <w:r>
            <w:rPr>
              <w:rFonts w:hint="default" w:ascii="Times New Roman" w:hAnsi="Times New Roman" w:eastAsia="仿宋" w:cs="Times New Roman"/>
              <w:b/>
              <w:bCs/>
              <w:sz w:val="24"/>
              <w:szCs w:val="24"/>
            </w:rPr>
            <w:t>2</w:t>
          </w:r>
          <w:r>
            <w:rPr>
              <w:rFonts w:hint="default" w:ascii="Times New Roman" w:hAnsi="Times New Roman" w:eastAsia="仿宋" w:cs="Times New Roman"/>
              <w:b/>
              <w:bCs/>
              <w:sz w:val="24"/>
              <w:szCs w:val="24"/>
            </w:rPr>
            <w:fldChar w:fldCharType="end"/>
          </w:r>
          <w:r>
            <w:rPr>
              <w:rFonts w:hint="default" w:ascii="Times New Roman" w:hAnsi="Times New Roman" w:eastAsia="仿宋" w:cs="Times New Roman"/>
              <w:b/>
              <w:bCs/>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_Toc25928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2.1编制目的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_Toc25928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_Toc28293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2.2编制原则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_Toc28293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_Toc5908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2.3适用范围</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_Toc5908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_Toc7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2.4编制依据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_Toc7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2"/>
            <w:tabs>
              <w:tab w:val="right" w:leader="dot" w:pos="8306"/>
            </w:tabs>
            <w:spacing w:line="360" w:lineRule="auto"/>
            <w:rPr>
              <w:rFonts w:hint="default" w:ascii="Times New Roman" w:hAnsi="Times New Roman" w:eastAsia="仿宋" w:cs="Times New Roman"/>
              <w:b/>
              <w:bCs/>
              <w:sz w:val="24"/>
              <w:szCs w:val="24"/>
            </w:rPr>
          </w:pPr>
          <w:r>
            <w:rPr>
              <w:rFonts w:hint="default" w:ascii="Times New Roman" w:hAnsi="Times New Roman" w:eastAsia="仿宋" w:cs="Times New Roman"/>
              <w:b/>
              <w:bCs/>
              <w:color w:val="auto"/>
              <w:sz w:val="24"/>
              <w:szCs w:val="24"/>
              <w:lang w:eastAsia="zh-CN"/>
            </w:rPr>
            <w:fldChar w:fldCharType="begin"/>
          </w:r>
          <w:r>
            <w:rPr>
              <w:rFonts w:hint="default" w:ascii="Times New Roman" w:hAnsi="Times New Roman" w:eastAsia="仿宋" w:cs="Times New Roman"/>
              <w:b/>
              <w:bCs/>
              <w:sz w:val="24"/>
              <w:szCs w:val="24"/>
              <w:lang w:eastAsia="zh-CN"/>
            </w:rPr>
            <w:instrText xml:space="preserve"> HYPERLINK \l _Toc9276 </w:instrText>
          </w:r>
          <w:r>
            <w:rPr>
              <w:rFonts w:hint="default" w:ascii="Times New Roman" w:hAnsi="Times New Roman" w:eastAsia="仿宋" w:cs="Times New Roman"/>
              <w:b/>
              <w:bCs/>
              <w:sz w:val="24"/>
              <w:szCs w:val="24"/>
              <w:lang w:eastAsia="zh-CN"/>
            </w:rPr>
            <w:fldChar w:fldCharType="separate"/>
          </w:r>
          <w:r>
            <w:rPr>
              <w:rFonts w:hint="default" w:ascii="Times New Roman" w:hAnsi="Times New Roman" w:eastAsia="仿宋" w:cs="Times New Roman"/>
              <w:b/>
              <w:bCs/>
              <w:sz w:val="24"/>
              <w:szCs w:val="24"/>
            </w:rPr>
            <w:t>3资料准备与环境风险识别</w:t>
          </w:r>
          <w:r>
            <w:rPr>
              <w:rFonts w:hint="default" w:ascii="Times New Roman" w:hAnsi="Times New Roman" w:eastAsia="仿宋" w:cs="Times New Roman"/>
              <w:b/>
              <w:bCs/>
              <w:sz w:val="24"/>
              <w:szCs w:val="24"/>
            </w:rPr>
            <w:tab/>
          </w:r>
          <w:r>
            <w:rPr>
              <w:rFonts w:hint="default" w:ascii="Times New Roman" w:hAnsi="Times New Roman" w:eastAsia="仿宋" w:cs="Times New Roman"/>
              <w:b/>
              <w:bCs/>
              <w:sz w:val="24"/>
              <w:szCs w:val="24"/>
            </w:rPr>
            <w:fldChar w:fldCharType="begin"/>
          </w:r>
          <w:r>
            <w:rPr>
              <w:rFonts w:hint="default" w:ascii="Times New Roman" w:hAnsi="Times New Roman" w:eastAsia="仿宋" w:cs="Times New Roman"/>
              <w:b/>
              <w:bCs/>
              <w:sz w:val="24"/>
              <w:szCs w:val="24"/>
            </w:rPr>
            <w:instrText xml:space="preserve"> PAGEREF _Toc9276 \h </w:instrText>
          </w:r>
          <w:r>
            <w:rPr>
              <w:rFonts w:hint="default" w:ascii="Times New Roman" w:hAnsi="Times New Roman" w:eastAsia="仿宋" w:cs="Times New Roman"/>
              <w:b/>
              <w:bCs/>
              <w:sz w:val="24"/>
              <w:szCs w:val="24"/>
            </w:rPr>
            <w:fldChar w:fldCharType="separate"/>
          </w:r>
          <w:r>
            <w:rPr>
              <w:rFonts w:hint="default" w:ascii="Times New Roman" w:hAnsi="Times New Roman" w:eastAsia="仿宋" w:cs="Times New Roman"/>
              <w:b/>
              <w:bCs/>
              <w:sz w:val="24"/>
              <w:szCs w:val="24"/>
            </w:rPr>
            <w:t>6</w:t>
          </w:r>
          <w:r>
            <w:rPr>
              <w:rFonts w:hint="default" w:ascii="Times New Roman" w:hAnsi="Times New Roman" w:eastAsia="仿宋" w:cs="Times New Roman"/>
              <w:b/>
              <w:bCs/>
              <w:sz w:val="24"/>
              <w:szCs w:val="24"/>
            </w:rPr>
            <w:fldChar w:fldCharType="end"/>
          </w:r>
          <w:r>
            <w:rPr>
              <w:rFonts w:hint="default" w:ascii="Times New Roman" w:hAnsi="Times New Roman" w:eastAsia="仿宋" w:cs="Times New Roman"/>
              <w:b/>
              <w:bCs/>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_Toc17687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3.1基本信息</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_Toc17687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_Toc24436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3.2周边环境风险受体情况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_Toc24436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_Toc12166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3.3涉及环境风险物质情况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_Toc12166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_Toc12772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3.4生产工艺与风险识别</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_Toc12772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_Toc12097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3.5安全生产管理</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_Toc12097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_Toc1972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3.6现有环境风险防控与应急措施情况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_Toc1972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2"/>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_Toc4786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3.7现有应急物资与装备、救援队伍情况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_Toc4786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2"/>
            <w:tabs>
              <w:tab w:val="right" w:leader="dot" w:pos="8306"/>
            </w:tabs>
            <w:spacing w:line="360" w:lineRule="auto"/>
            <w:rPr>
              <w:rFonts w:hint="default" w:ascii="Times New Roman" w:hAnsi="Times New Roman" w:eastAsia="仿宋" w:cs="Times New Roman"/>
              <w:b/>
              <w:bCs/>
              <w:sz w:val="24"/>
              <w:szCs w:val="24"/>
            </w:rPr>
          </w:pPr>
          <w:r>
            <w:rPr>
              <w:rFonts w:hint="default" w:ascii="Times New Roman" w:hAnsi="Times New Roman" w:eastAsia="仿宋" w:cs="Times New Roman"/>
              <w:b/>
              <w:bCs/>
              <w:color w:val="auto"/>
              <w:sz w:val="24"/>
              <w:szCs w:val="24"/>
              <w:lang w:eastAsia="zh-CN"/>
            </w:rPr>
            <w:fldChar w:fldCharType="begin"/>
          </w:r>
          <w:r>
            <w:rPr>
              <w:rFonts w:hint="default" w:ascii="Times New Roman" w:hAnsi="Times New Roman" w:eastAsia="仿宋" w:cs="Times New Roman"/>
              <w:b/>
              <w:bCs/>
              <w:sz w:val="24"/>
              <w:szCs w:val="24"/>
              <w:lang w:eastAsia="zh-CN"/>
            </w:rPr>
            <w:instrText xml:space="preserve"> HYPERLINK \l _Toc14254 </w:instrText>
          </w:r>
          <w:r>
            <w:rPr>
              <w:rFonts w:hint="default" w:ascii="Times New Roman" w:hAnsi="Times New Roman" w:eastAsia="仿宋" w:cs="Times New Roman"/>
              <w:b/>
              <w:bCs/>
              <w:sz w:val="24"/>
              <w:szCs w:val="24"/>
              <w:lang w:eastAsia="zh-CN"/>
            </w:rPr>
            <w:fldChar w:fldCharType="separate"/>
          </w:r>
          <w:r>
            <w:rPr>
              <w:rFonts w:hint="default" w:ascii="Times New Roman" w:hAnsi="Times New Roman" w:eastAsia="仿宋" w:cs="Times New Roman"/>
              <w:b/>
              <w:bCs/>
              <w:sz w:val="24"/>
              <w:szCs w:val="24"/>
              <w:lang w:val="en-US" w:eastAsia="zh-CN"/>
            </w:rPr>
            <w:t>4突发环境事件及其后果分析</w:t>
          </w:r>
          <w:r>
            <w:rPr>
              <w:rFonts w:hint="default" w:ascii="Times New Roman" w:hAnsi="Times New Roman" w:eastAsia="仿宋" w:cs="Times New Roman"/>
              <w:b/>
              <w:bCs/>
              <w:sz w:val="24"/>
              <w:szCs w:val="24"/>
            </w:rPr>
            <w:tab/>
          </w:r>
          <w:r>
            <w:rPr>
              <w:rFonts w:hint="default" w:ascii="Times New Roman" w:hAnsi="Times New Roman" w:eastAsia="仿宋" w:cs="Times New Roman"/>
              <w:b/>
              <w:bCs/>
              <w:sz w:val="24"/>
              <w:szCs w:val="24"/>
            </w:rPr>
            <w:fldChar w:fldCharType="begin"/>
          </w:r>
          <w:r>
            <w:rPr>
              <w:rFonts w:hint="default" w:ascii="Times New Roman" w:hAnsi="Times New Roman" w:eastAsia="仿宋" w:cs="Times New Roman"/>
              <w:b/>
              <w:bCs/>
              <w:sz w:val="24"/>
              <w:szCs w:val="24"/>
            </w:rPr>
            <w:instrText xml:space="preserve"> PAGEREF _Toc14254 \h </w:instrText>
          </w:r>
          <w:r>
            <w:rPr>
              <w:rFonts w:hint="default" w:ascii="Times New Roman" w:hAnsi="Times New Roman" w:eastAsia="仿宋" w:cs="Times New Roman"/>
              <w:b/>
              <w:bCs/>
              <w:sz w:val="24"/>
              <w:szCs w:val="24"/>
            </w:rPr>
            <w:fldChar w:fldCharType="separate"/>
          </w:r>
          <w:r>
            <w:rPr>
              <w:rFonts w:hint="default" w:ascii="Times New Roman" w:hAnsi="Times New Roman" w:eastAsia="仿宋" w:cs="Times New Roman"/>
              <w:b/>
              <w:bCs/>
              <w:sz w:val="24"/>
              <w:szCs w:val="24"/>
            </w:rPr>
            <w:t>20</w:t>
          </w:r>
          <w:r>
            <w:rPr>
              <w:rFonts w:hint="default" w:ascii="Times New Roman" w:hAnsi="Times New Roman" w:eastAsia="仿宋" w:cs="Times New Roman"/>
              <w:b/>
              <w:bCs/>
              <w:sz w:val="24"/>
              <w:szCs w:val="24"/>
            </w:rPr>
            <w:fldChar w:fldCharType="end"/>
          </w:r>
          <w:r>
            <w:rPr>
              <w:rFonts w:hint="default" w:ascii="Times New Roman" w:hAnsi="Times New Roman" w:eastAsia="仿宋" w:cs="Times New Roman"/>
              <w:b/>
              <w:bCs/>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_Toc7663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4.1突发环境事件情景分析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_Toc7663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_Toc3170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4.2涉及环境风险防控与应急措施、应急资源情况分析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_Toc3170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2"/>
            <w:tabs>
              <w:tab w:val="right" w:leader="dot" w:pos="8306"/>
            </w:tabs>
            <w:spacing w:line="360" w:lineRule="auto"/>
            <w:rPr>
              <w:rFonts w:hint="default" w:ascii="Times New Roman" w:hAnsi="Times New Roman" w:eastAsia="仿宋" w:cs="Times New Roman"/>
              <w:b/>
              <w:bCs/>
              <w:sz w:val="24"/>
              <w:szCs w:val="24"/>
            </w:rPr>
          </w:pPr>
          <w:r>
            <w:rPr>
              <w:rFonts w:hint="default" w:ascii="Times New Roman" w:hAnsi="Times New Roman" w:eastAsia="仿宋" w:cs="Times New Roman"/>
              <w:b/>
              <w:bCs/>
              <w:color w:val="auto"/>
              <w:sz w:val="24"/>
              <w:szCs w:val="24"/>
              <w:lang w:eastAsia="zh-CN"/>
            </w:rPr>
            <w:fldChar w:fldCharType="begin"/>
          </w:r>
          <w:r>
            <w:rPr>
              <w:rFonts w:hint="default" w:ascii="Times New Roman" w:hAnsi="Times New Roman" w:eastAsia="仿宋" w:cs="Times New Roman"/>
              <w:b/>
              <w:bCs/>
              <w:sz w:val="24"/>
              <w:szCs w:val="24"/>
              <w:lang w:eastAsia="zh-CN"/>
            </w:rPr>
            <w:instrText xml:space="preserve"> HYPERLINK \l _Toc32081 </w:instrText>
          </w:r>
          <w:r>
            <w:rPr>
              <w:rFonts w:hint="default" w:ascii="Times New Roman" w:hAnsi="Times New Roman" w:eastAsia="仿宋" w:cs="Times New Roman"/>
              <w:b/>
              <w:bCs/>
              <w:sz w:val="24"/>
              <w:szCs w:val="24"/>
              <w:lang w:eastAsia="zh-CN"/>
            </w:rPr>
            <w:fldChar w:fldCharType="separate"/>
          </w:r>
          <w:r>
            <w:rPr>
              <w:rFonts w:hint="default" w:ascii="Times New Roman" w:hAnsi="Times New Roman" w:eastAsia="仿宋" w:cs="Times New Roman"/>
              <w:b/>
              <w:bCs/>
              <w:sz w:val="24"/>
              <w:szCs w:val="24"/>
              <w:lang w:val="en-US" w:eastAsia="zh-CN"/>
            </w:rPr>
            <w:t>5现有环境风险防控和应急措施差距分析</w:t>
          </w:r>
          <w:r>
            <w:rPr>
              <w:rFonts w:hint="default" w:ascii="Times New Roman" w:hAnsi="Times New Roman" w:eastAsia="仿宋" w:cs="Times New Roman"/>
              <w:b/>
              <w:bCs/>
              <w:sz w:val="24"/>
              <w:szCs w:val="24"/>
            </w:rPr>
            <w:tab/>
          </w:r>
          <w:r>
            <w:rPr>
              <w:rFonts w:hint="default" w:ascii="Times New Roman" w:hAnsi="Times New Roman" w:eastAsia="仿宋" w:cs="Times New Roman"/>
              <w:b/>
              <w:bCs/>
              <w:sz w:val="24"/>
              <w:szCs w:val="24"/>
            </w:rPr>
            <w:fldChar w:fldCharType="begin"/>
          </w:r>
          <w:r>
            <w:rPr>
              <w:rFonts w:hint="default" w:ascii="Times New Roman" w:hAnsi="Times New Roman" w:eastAsia="仿宋" w:cs="Times New Roman"/>
              <w:b/>
              <w:bCs/>
              <w:sz w:val="24"/>
              <w:szCs w:val="24"/>
            </w:rPr>
            <w:instrText xml:space="preserve"> PAGEREF _Toc32081 \h </w:instrText>
          </w:r>
          <w:r>
            <w:rPr>
              <w:rFonts w:hint="default" w:ascii="Times New Roman" w:hAnsi="Times New Roman" w:eastAsia="仿宋" w:cs="Times New Roman"/>
              <w:b/>
              <w:bCs/>
              <w:sz w:val="24"/>
              <w:szCs w:val="24"/>
            </w:rPr>
            <w:fldChar w:fldCharType="separate"/>
          </w:r>
          <w:r>
            <w:rPr>
              <w:rFonts w:hint="default" w:ascii="Times New Roman" w:hAnsi="Times New Roman" w:eastAsia="仿宋" w:cs="Times New Roman"/>
              <w:b/>
              <w:bCs/>
              <w:sz w:val="24"/>
              <w:szCs w:val="24"/>
            </w:rPr>
            <w:t>26</w:t>
          </w:r>
          <w:r>
            <w:rPr>
              <w:rFonts w:hint="default" w:ascii="Times New Roman" w:hAnsi="Times New Roman" w:eastAsia="仿宋" w:cs="Times New Roman"/>
              <w:b/>
              <w:bCs/>
              <w:sz w:val="24"/>
              <w:szCs w:val="24"/>
            </w:rPr>
            <w:fldChar w:fldCharType="end"/>
          </w:r>
          <w:r>
            <w:rPr>
              <w:rFonts w:hint="default" w:ascii="Times New Roman" w:hAnsi="Times New Roman" w:eastAsia="仿宋" w:cs="Times New Roman"/>
              <w:b/>
              <w:bCs/>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_Toc14322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5.1环境风险管理制度</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_Toc14322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_Toc18469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5.2环境风险防控与应急措施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_Toc18469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2"/>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_Toc16120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bCs/>
              <w:sz w:val="24"/>
              <w:szCs w:val="24"/>
            </w:rPr>
            <w:t>5.3环境应急资源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_Toc16120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2"/>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_Toc27944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bCs/>
              <w:sz w:val="24"/>
              <w:szCs w:val="24"/>
            </w:rPr>
            <w:t>5.4历史经验总结教训</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_Toc27944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2"/>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_Toc20433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bCs/>
              <w:sz w:val="24"/>
              <w:szCs w:val="24"/>
              <w:highlight w:val="none"/>
            </w:rPr>
            <w:t>5.5需要整改的短期、中期和长期项目内容</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_Toc20433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2"/>
            <w:tabs>
              <w:tab w:val="right" w:leader="dot" w:pos="8306"/>
            </w:tabs>
            <w:spacing w:line="360" w:lineRule="auto"/>
            <w:rPr>
              <w:rFonts w:hint="default" w:ascii="Times New Roman" w:hAnsi="Times New Roman" w:eastAsia="仿宋" w:cs="Times New Roman"/>
              <w:b/>
              <w:bCs/>
              <w:sz w:val="24"/>
              <w:szCs w:val="24"/>
            </w:rPr>
          </w:pPr>
          <w:r>
            <w:rPr>
              <w:rFonts w:hint="default" w:ascii="Times New Roman" w:hAnsi="Times New Roman" w:eastAsia="仿宋" w:cs="Times New Roman"/>
              <w:b/>
              <w:bCs/>
              <w:color w:val="auto"/>
              <w:sz w:val="24"/>
              <w:szCs w:val="24"/>
              <w:lang w:eastAsia="zh-CN"/>
            </w:rPr>
            <w:fldChar w:fldCharType="begin"/>
          </w:r>
          <w:r>
            <w:rPr>
              <w:rFonts w:hint="default" w:ascii="Times New Roman" w:hAnsi="Times New Roman" w:eastAsia="仿宋" w:cs="Times New Roman"/>
              <w:b/>
              <w:bCs/>
              <w:sz w:val="24"/>
              <w:szCs w:val="24"/>
              <w:lang w:eastAsia="zh-CN"/>
            </w:rPr>
            <w:instrText xml:space="preserve"> HYPERLINK \l _Toc12440 </w:instrText>
          </w:r>
          <w:r>
            <w:rPr>
              <w:rFonts w:hint="default" w:ascii="Times New Roman" w:hAnsi="Times New Roman" w:eastAsia="仿宋" w:cs="Times New Roman"/>
              <w:b/>
              <w:bCs/>
              <w:sz w:val="24"/>
              <w:szCs w:val="24"/>
              <w:lang w:eastAsia="zh-CN"/>
            </w:rPr>
            <w:fldChar w:fldCharType="separate"/>
          </w:r>
          <w:r>
            <w:rPr>
              <w:rFonts w:hint="default" w:ascii="Times New Roman" w:hAnsi="Times New Roman" w:eastAsia="仿宋" w:cs="Times New Roman"/>
              <w:b/>
              <w:bCs/>
              <w:sz w:val="24"/>
              <w:szCs w:val="24"/>
              <w:highlight w:val="none"/>
              <w:lang w:val="en-US" w:eastAsia="zh-CN"/>
            </w:rPr>
            <w:t>6完善环境风险防控和应急措施实施计划</w:t>
          </w:r>
          <w:r>
            <w:rPr>
              <w:rFonts w:hint="default" w:ascii="Times New Roman" w:hAnsi="Times New Roman" w:eastAsia="仿宋" w:cs="Times New Roman"/>
              <w:b/>
              <w:bCs/>
              <w:sz w:val="24"/>
              <w:szCs w:val="24"/>
            </w:rPr>
            <w:tab/>
          </w:r>
          <w:r>
            <w:rPr>
              <w:rFonts w:hint="default" w:ascii="Times New Roman" w:hAnsi="Times New Roman" w:eastAsia="仿宋" w:cs="Times New Roman"/>
              <w:b/>
              <w:bCs/>
              <w:sz w:val="24"/>
              <w:szCs w:val="24"/>
            </w:rPr>
            <w:fldChar w:fldCharType="begin"/>
          </w:r>
          <w:r>
            <w:rPr>
              <w:rFonts w:hint="default" w:ascii="Times New Roman" w:hAnsi="Times New Roman" w:eastAsia="仿宋" w:cs="Times New Roman"/>
              <w:b/>
              <w:bCs/>
              <w:sz w:val="24"/>
              <w:szCs w:val="24"/>
            </w:rPr>
            <w:instrText xml:space="preserve"> PAGEREF _Toc12440 \h </w:instrText>
          </w:r>
          <w:r>
            <w:rPr>
              <w:rFonts w:hint="default" w:ascii="Times New Roman" w:hAnsi="Times New Roman" w:eastAsia="仿宋" w:cs="Times New Roman"/>
              <w:b/>
              <w:bCs/>
              <w:sz w:val="24"/>
              <w:szCs w:val="24"/>
            </w:rPr>
            <w:fldChar w:fldCharType="separate"/>
          </w:r>
          <w:r>
            <w:rPr>
              <w:rFonts w:hint="default" w:ascii="Times New Roman" w:hAnsi="Times New Roman" w:eastAsia="仿宋" w:cs="Times New Roman"/>
              <w:b/>
              <w:bCs/>
              <w:sz w:val="24"/>
              <w:szCs w:val="24"/>
            </w:rPr>
            <w:t>29</w:t>
          </w:r>
          <w:r>
            <w:rPr>
              <w:rFonts w:hint="default" w:ascii="Times New Roman" w:hAnsi="Times New Roman" w:eastAsia="仿宋" w:cs="Times New Roman"/>
              <w:b/>
              <w:bCs/>
              <w:sz w:val="24"/>
              <w:szCs w:val="24"/>
            </w:rPr>
            <w:fldChar w:fldCharType="end"/>
          </w:r>
          <w:r>
            <w:rPr>
              <w:rFonts w:hint="default" w:ascii="Times New Roman" w:hAnsi="Times New Roman" w:eastAsia="仿宋" w:cs="Times New Roman"/>
              <w:b/>
              <w:bCs/>
              <w:color w:val="auto"/>
              <w:sz w:val="24"/>
              <w:szCs w:val="24"/>
              <w:lang w:eastAsia="zh-CN"/>
            </w:rPr>
            <w:fldChar w:fldCharType="end"/>
          </w:r>
        </w:p>
        <w:p>
          <w:pPr>
            <w:pStyle w:val="12"/>
            <w:tabs>
              <w:tab w:val="right" w:leader="dot" w:pos="8306"/>
            </w:tabs>
            <w:spacing w:line="360" w:lineRule="auto"/>
            <w:rPr>
              <w:rFonts w:hint="default" w:ascii="Times New Roman" w:hAnsi="Times New Roman" w:eastAsia="仿宋" w:cs="Times New Roman"/>
              <w:b/>
              <w:bCs/>
              <w:sz w:val="24"/>
              <w:szCs w:val="24"/>
            </w:rPr>
          </w:pPr>
          <w:r>
            <w:rPr>
              <w:rFonts w:hint="default" w:ascii="Times New Roman" w:hAnsi="Times New Roman" w:eastAsia="仿宋" w:cs="Times New Roman"/>
              <w:b/>
              <w:bCs/>
              <w:color w:val="auto"/>
              <w:sz w:val="24"/>
              <w:szCs w:val="24"/>
              <w:lang w:eastAsia="zh-CN"/>
            </w:rPr>
            <w:fldChar w:fldCharType="begin"/>
          </w:r>
          <w:r>
            <w:rPr>
              <w:rFonts w:hint="default" w:ascii="Times New Roman" w:hAnsi="Times New Roman" w:eastAsia="仿宋" w:cs="Times New Roman"/>
              <w:b/>
              <w:bCs/>
              <w:sz w:val="24"/>
              <w:szCs w:val="24"/>
              <w:lang w:eastAsia="zh-CN"/>
            </w:rPr>
            <w:instrText xml:space="preserve"> HYPERLINK \l _Toc17064 </w:instrText>
          </w:r>
          <w:r>
            <w:rPr>
              <w:rFonts w:hint="default" w:ascii="Times New Roman" w:hAnsi="Times New Roman" w:eastAsia="仿宋" w:cs="Times New Roman"/>
              <w:b/>
              <w:bCs/>
              <w:sz w:val="24"/>
              <w:szCs w:val="24"/>
              <w:lang w:eastAsia="zh-CN"/>
            </w:rPr>
            <w:fldChar w:fldCharType="separate"/>
          </w:r>
          <w:r>
            <w:rPr>
              <w:rFonts w:hint="default" w:ascii="Times New Roman" w:hAnsi="Times New Roman" w:eastAsia="仿宋" w:cs="Times New Roman"/>
              <w:b/>
              <w:bCs/>
              <w:sz w:val="24"/>
              <w:szCs w:val="24"/>
            </w:rPr>
            <w:t>7突发环境事件风险等级</w:t>
          </w:r>
          <w:r>
            <w:rPr>
              <w:rFonts w:hint="default" w:ascii="Times New Roman" w:hAnsi="Times New Roman" w:eastAsia="仿宋" w:cs="Times New Roman"/>
              <w:b/>
              <w:bCs/>
              <w:sz w:val="24"/>
              <w:szCs w:val="24"/>
            </w:rPr>
            <w:tab/>
          </w:r>
          <w:r>
            <w:rPr>
              <w:rFonts w:hint="default" w:ascii="Times New Roman" w:hAnsi="Times New Roman" w:eastAsia="仿宋" w:cs="Times New Roman"/>
              <w:b/>
              <w:bCs/>
              <w:sz w:val="24"/>
              <w:szCs w:val="24"/>
            </w:rPr>
            <w:fldChar w:fldCharType="begin"/>
          </w:r>
          <w:r>
            <w:rPr>
              <w:rFonts w:hint="default" w:ascii="Times New Roman" w:hAnsi="Times New Roman" w:eastAsia="仿宋" w:cs="Times New Roman"/>
              <w:b/>
              <w:bCs/>
              <w:sz w:val="24"/>
              <w:szCs w:val="24"/>
            </w:rPr>
            <w:instrText xml:space="preserve"> PAGEREF _Toc17064 \h </w:instrText>
          </w:r>
          <w:r>
            <w:rPr>
              <w:rFonts w:hint="default" w:ascii="Times New Roman" w:hAnsi="Times New Roman" w:eastAsia="仿宋" w:cs="Times New Roman"/>
              <w:b/>
              <w:bCs/>
              <w:sz w:val="24"/>
              <w:szCs w:val="24"/>
            </w:rPr>
            <w:fldChar w:fldCharType="separate"/>
          </w:r>
          <w:r>
            <w:rPr>
              <w:rFonts w:hint="default" w:ascii="Times New Roman" w:hAnsi="Times New Roman" w:eastAsia="仿宋" w:cs="Times New Roman"/>
              <w:b/>
              <w:bCs/>
              <w:sz w:val="24"/>
              <w:szCs w:val="24"/>
            </w:rPr>
            <w:t>30</w:t>
          </w:r>
          <w:r>
            <w:rPr>
              <w:rFonts w:hint="default" w:ascii="Times New Roman" w:hAnsi="Times New Roman" w:eastAsia="仿宋" w:cs="Times New Roman"/>
              <w:b/>
              <w:bCs/>
              <w:sz w:val="24"/>
              <w:szCs w:val="24"/>
            </w:rPr>
            <w:fldChar w:fldCharType="end"/>
          </w:r>
          <w:r>
            <w:rPr>
              <w:rFonts w:hint="default" w:ascii="Times New Roman" w:hAnsi="Times New Roman" w:eastAsia="仿宋" w:cs="Times New Roman"/>
              <w:b/>
              <w:bCs/>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_Toc17213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7.1分级程序</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_Toc17213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_Toc24932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7.2风险物质识别</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_Toc24932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_Toc6829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7.3突发大气环境事件风险分级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_Toc6829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2"/>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_Toc6471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bCs/>
              <w:sz w:val="24"/>
              <w:szCs w:val="24"/>
              <w:lang w:val="en-US" w:eastAsia="zh-CN"/>
            </w:rPr>
            <w:t>7.4突发水环境事件风险等级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_Toc6471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2"/>
            <w:tabs>
              <w:tab w:val="right" w:leader="dot" w:pos="8306"/>
            </w:tabs>
            <w:spacing w:line="360" w:lineRule="auto"/>
            <w:rPr>
              <w:rFonts w:hint="default" w:ascii="Times New Roman" w:hAnsi="Times New Roman" w:eastAsia="仿宋" w:cs="Times New Roman"/>
              <w:b/>
              <w:bCs/>
              <w:sz w:val="24"/>
              <w:szCs w:val="24"/>
            </w:rPr>
          </w:pPr>
          <w:r>
            <w:rPr>
              <w:rFonts w:hint="default" w:ascii="Times New Roman" w:hAnsi="Times New Roman" w:eastAsia="仿宋" w:cs="Times New Roman"/>
              <w:b/>
              <w:bCs/>
              <w:color w:val="auto"/>
              <w:sz w:val="24"/>
              <w:szCs w:val="24"/>
              <w:lang w:eastAsia="zh-CN"/>
            </w:rPr>
            <w:fldChar w:fldCharType="begin"/>
          </w:r>
          <w:r>
            <w:rPr>
              <w:rFonts w:hint="default" w:ascii="Times New Roman" w:hAnsi="Times New Roman" w:eastAsia="仿宋" w:cs="Times New Roman"/>
              <w:b/>
              <w:bCs/>
              <w:sz w:val="24"/>
              <w:szCs w:val="24"/>
              <w:lang w:eastAsia="zh-CN"/>
            </w:rPr>
            <w:instrText xml:space="preserve"> HYPERLINK \l _Toc11526 </w:instrText>
          </w:r>
          <w:r>
            <w:rPr>
              <w:rFonts w:hint="default" w:ascii="Times New Roman" w:hAnsi="Times New Roman" w:eastAsia="仿宋" w:cs="Times New Roman"/>
              <w:b/>
              <w:bCs/>
              <w:sz w:val="24"/>
              <w:szCs w:val="24"/>
              <w:lang w:eastAsia="zh-CN"/>
            </w:rPr>
            <w:fldChar w:fldCharType="separate"/>
          </w:r>
          <w:r>
            <w:rPr>
              <w:rFonts w:hint="default" w:ascii="Times New Roman" w:hAnsi="Times New Roman" w:eastAsia="仿宋" w:cs="Times New Roman"/>
              <w:b/>
              <w:bCs/>
              <w:sz w:val="24"/>
              <w:szCs w:val="24"/>
            </w:rPr>
            <w:t>8</w:t>
          </w:r>
          <w:r>
            <w:rPr>
              <w:rFonts w:hint="default" w:ascii="Times New Roman" w:hAnsi="Times New Roman" w:eastAsia="仿宋" w:cs="Times New Roman"/>
              <w:b/>
              <w:bCs/>
              <w:sz w:val="24"/>
              <w:szCs w:val="24"/>
              <w:lang w:eastAsia="zh-CN"/>
            </w:rPr>
            <w:t>企业</w:t>
          </w:r>
          <w:r>
            <w:rPr>
              <w:rFonts w:hint="default" w:ascii="Times New Roman" w:hAnsi="Times New Roman" w:eastAsia="仿宋" w:cs="Times New Roman"/>
              <w:b/>
              <w:bCs/>
              <w:sz w:val="24"/>
              <w:szCs w:val="24"/>
            </w:rPr>
            <w:t>突发环境事件风险等级确定与调整</w:t>
          </w:r>
          <w:r>
            <w:rPr>
              <w:rFonts w:hint="default" w:ascii="Times New Roman" w:hAnsi="Times New Roman" w:eastAsia="仿宋" w:cs="Times New Roman"/>
              <w:b/>
              <w:bCs/>
              <w:sz w:val="24"/>
              <w:szCs w:val="24"/>
            </w:rPr>
            <w:tab/>
          </w:r>
          <w:r>
            <w:rPr>
              <w:rFonts w:hint="default" w:ascii="Times New Roman" w:hAnsi="Times New Roman" w:eastAsia="仿宋" w:cs="Times New Roman"/>
              <w:b/>
              <w:bCs/>
              <w:sz w:val="24"/>
              <w:szCs w:val="24"/>
            </w:rPr>
            <w:fldChar w:fldCharType="begin"/>
          </w:r>
          <w:r>
            <w:rPr>
              <w:rFonts w:hint="default" w:ascii="Times New Roman" w:hAnsi="Times New Roman" w:eastAsia="仿宋" w:cs="Times New Roman"/>
              <w:b/>
              <w:bCs/>
              <w:sz w:val="24"/>
              <w:szCs w:val="24"/>
            </w:rPr>
            <w:instrText xml:space="preserve"> PAGEREF _Toc11526 \h </w:instrText>
          </w:r>
          <w:r>
            <w:rPr>
              <w:rFonts w:hint="default" w:ascii="Times New Roman" w:hAnsi="Times New Roman" w:eastAsia="仿宋" w:cs="Times New Roman"/>
              <w:b/>
              <w:bCs/>
              <w:sz w:val="24"/>
              <w:szCs w:val="24"/>
            </w:rPr>
            <w:fldChar w:fldCharType="separate"/>
          </w:r>
          <w:r>
            <w:rPr>
              <w:rFonts w:hint="default" w:ascii="Times New Roman" w:hAnsi="Times New Roman" w:eastAsia="仿宋" w:cs="Times New Roman"/>
              <w:b/>
              <w:bCs/>
              <w:sz w:val="24"/>
              <w:szCs w:val="24"/>
            </w:rPr>
            <w:t>33</w:t>
          </w:r>
          <w:r>
            <w:rPr>
              <w:rFonts w:hint="default" w:ascii="Times New Roman" w:hAnsi="Times New Roman" w:eastAsia="仿宋" w:cs="Times New Roman"/>
              <w:b/>
              <w:bCs/>
              <w:sz w:val="24"/>
              <w:szCs w:val="24"/>
            </w:rPr>
            <w:fldChar w:fldCharType="end"/>
          </w:r>
          <w:r>
            <w:rPr>
              <w:rFonts w:hint="default" w:ascii="Times New Roman" w:hAnsi="Times New Roman" w:eastAsia="仿宋" w:cs="Times New Roman"/>
              <w:b/>
              <w:bCs/>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_Toc22104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8.1 风险等级确定</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_Toc22104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_Toc13092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8.2 风险等级调整</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_Toc13092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_Toc16167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8.3 风险等级表征</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_Toc16167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2"/>
            <w:tabs>
              <w:tab w:val="right" w:leader="dot" w:pos="8306"/>
            </w:tabs>
            <w:spacing w:line="360" w:lineRule="auto"/>
            <w:rPr>
              <w:rFonts w:hint="default" w:ascii="Times New Roman" w:hAnsi="Times New Roman" w:eastAsia="仿宋" w:cs="Times New Roman"/>
              <w:b/>
              <w:bCs/>
              <w:sz w:val="24"/>
              <w:szCs w:val="24"/>
            </w:rPr>
          </w:pPr>
          <w:r>
            <w:rPr>
              <w:rFonts w:hint="default" w:ascii="Times New Roman" w:hAnsi="Times New Roman" w:eastAsia="仿宋" w:cs="Times New Roman"/>
              <w:b/>
              <w:bCs/>
              <w:color w:val="auto"/>
              <w:sz w:val="24"/>
              <w:szCs w:val="24"/>
              <w:lang w:eastAsia="zh-CN"/>
            </w:rPr>
            <w:fldChar w:fldCharType="begin"/>
          </w:r>
          <w:r>
            <w:rPr>
              <w:rFonts w:hint="default" w:ascii="Times New Roman" w:hAnsi="Times New Roman" w:eastAsia="仿宋" w:cs="Times New Roman"/>
              <w:b/>
              <w:bCs/>
              <w:sz w:val="24"/>
              <w:szCs w:val="24"/>
              <w:lang w:eastAsia="zh-CN"/>
            </w:rPr>
            <w:instrText xml:space="preserve"> HYPERLINK \l _Toc28124 </w:instrText>
          </w:r>
          <w:r>
            <w:rPr>
              <w:rFonts w:hint="default" w:ascii="Times New Roman" w:hAnsi="Times New Roman" w:eastAsia="仿宋" w:cs="Times New Roman"/>
              <w:b/>
              <w:bCs/>
              <w:sz w:val="24"/>
              <w:szCs w:val="24"/>
              <w:lang w:eastAsia="zh-CN"/>
            </w:rPr>
            <w:fldChar w:fldCharType="separate"/>
          </w:r>
          <w:r>
            <w:rPr>
              <w:rFonts w:hint="default" w:ascii="Times New Roman" w:hAnsi="Times New Roman" w:eastAsia="仿宋" w:cs="Times New Roman"/>
              <w:b/>
              <w:bCs/>
              <w:sz w:val="24"/>
              <w:szCs w:val="24"/>
            </w:rPr>
            <w:t>9</w:t>
          </w:r>
          <w:r>
            <w:rPr>
              <w:rFonts w:hint="default" w:ascii="Times New Roman" w:hAnsi="Times New Roman" w:eastAsia="仿宋" w:cs="Times New Roman"/>
              <w:b/>
              <w:bCs/>
              <w:sz w:val="24"/>
              <w:szCs w:val="24"/>
              <w:lang w:eastAsia="zh-CN"/>
            </w:rPr>
            <w:t xml:space="preserve"> </w:t>
          </w:r>
          <w:r>
            <w:rPr>
              <w:rFonts w:hint="default" w:ascii="Times New Roman" w:hAnsi="Times New Roman" w:eastAsia="仿宋" w:cs="Times New Roman"/>
              <w:b/>
              <w:bCs/>
              <w:sz w:val="24"/>
              <w:szCs w:val="24"/>
            </w:rPr>
            <w:t>附图</w:t>
          </w:r>
          <w:r>
            <w:rPr>
              <w:rFonts w:hint="default" w:ascii="Times New Roman" w:hAnsi="Times New Roman" w:eastAsia="仿宋" w:cs="Times New Roman"/>
              <w:b/>
              <w:bCs/>
              <w:sz w:val="24"/>
              <w:szCs w:val="24"/>
            </w:rPr>
            <w:tab/>
          </w:r>
          <w:r>
            <w:rPr>
              <w:rFonts w:hint="default" w:ascii="Times New Roman" w:hAnsi="Times New Roman" w:eastAsia="仿宋" w:cs="Times New Roman"/>
              <w:b/>
              <w:bCs/>
              <w:sz w:val="24"/>
              <w:szCs w:val="24"/>
            </w:rPr>
            <w:fldChar w:fldCharType="begin"/>
          </w:r>
          <w:r>
            <w:rPr>
              <w:rFonts w:hint="default" w:ascii="Times New Roman" w:hAnsi="Times New Roman" w:eastAsia="仿宋" w:cs="Times New Roman"/>
              <w:b/>
              <w:bCs/>
              <w:sz w:val="24"/>
              <w:szCs w:val="24"/>
            </w:rPr>
            <w:instrText xml:space="preserve"> PAGEREF _Toc28124 \h </w:instrText>
          </w:r>
          <w:r>
            <w:rPr>
              <w:rFonts w:hint="default" w:ascii="Times New Roman" w:hAnsi="Times New Roman" w:eastAsia="仿宋" w:cs="Times New Roman"/>
              <w:b/>
              <w:bCs/>
              <w:sz w:val="24"/>
              <w:szCs w:val="24"/>
            </w:rPr>
            <w:fldChar w:fldCharType="separate"/>
          </w:r>
          <w:r>
            <w:rPr>
              <w:rFonts w:hint="default" w:ascii="Times New Roman" w:hAnsi="Times New Roman" w:eastAsia="仿宋" w:cs="Times New Roman"/>
              <w:b/>
              <w:bCs/>
              <w:sz w:val="24"/>
              <w:szCs w:val="24"/>
            </w:rPr>
            <w:t>34</w:t>
          </w:r>
          <w:r>
            <w:rPr>
              <w:rFonts w:hint="default" w:ascii="Times New Roman" w:hAnsi="Times New Roman" w:eastAsia="仿宋" w:cs="Times New Roman"/>
              <w:b/>
              <w:bCs/>
              <w:sz w:val="24"/>
              <w:szCs w:val="24"/>
            </w:rPr>
            <w:fldChar w:fldCharType="end"/>
          </w:r>
          <w:r>
            <w:rPr>
              <w:rFonts w:hint="default" w:ascii="Times New Roman" w:hAnsi="Times New Roman" w:eastAsia="仿宋" w:cs="Times New Roman"/>
              <w:b/>
              <w:bCs/>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_Toc6821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bCs/>
              <w:sz w:val="24"/>
              <w:szCs w:val="24"/>
            </w:rPr>
            <w:t>附图1</w:t>
          </w:r>
          <w:r>
            <w:rPr>
              <w:rFonts w:hint="default" w:ascii="Times New Roman" w:hAnsi="Times New Roman" w:eastAsia="仿宋" w:cs="Times New Roman"/>
              <w:bCs/>
              <w:sz w:val="24"/>
              <w:szCs w:val="24"/>
              <w:lang w:val="en-US" w:eastAsia="zh-CN"/>
            </w:rPr>
            <w:t xml:space="preserve">  </w:t>
          </w:r>
          <w:r>
            <w:rPr>
              <w:rFonts w:hint="default" w:ascii="Times New Roman" w:hAnsi="Times New Roman" w:eastAsia="仿宋" w:cs="Times New Roman"/>
              <w:bCs/>
              <w:sz w:val="24"/>
              <w:szCs w:val="24"/>
            </w:rPr>
            <w:t>项目地理位置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_Toc6821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4"/>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_Toc24130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sz w:val="24"/>
              <w:szCs w:val="24"/>
            </w:rPr>
            <w:t>附件</w:t>
          </w:r>
          <w:r>
            <w:rPr>
              <w:rFonts w:hint="default" w:ascii="Times New Roman" w:hAnsi="Times New Roman" w:eastAsia="仿宋" w:cs="Times New Roman"/>
              <w:sz w:val="24"/>
              <w:szCs w:val="24"/>
              <w:lang w:val="en-US" w:eastAsia="zh-CN"/>
            </w:rPr>
            <w:t>2</w:t>
          </w:r>
          <w:r>
            <w:rPr>
              <w:rFonts w:hint="default" w:ascii="Times New Roman" w:hAnsi="Times New Roman" w:eastAsia="仿宋" w:cs="Times New Roman"/>
              <w:sz w:val="24"/>
              <w:szCs w:val="24"/>
            </w:rPr>
            <w:t>：风险源分布图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_Toc24130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12"/>
            <w:tabs>
              <w:tab w:val="right" w:leader="dot" w:pos="8306"/>
            </w:tabs>
            <w:spacing w:line="360" w:lineRule="auto"/>
            <w:ind w:firstLine="240" w:firstLineChars="100"/>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eastAsia="zh-CN"/>
            </w:rPr>
            <w:fldChar w:fldCharType="begin"/>
          </w:r>
          <w:r>
            <w:rPr>
              <w:rFonts w:hint="default" w:ascii="Times New Roman" w:hAnsi="Times New Roman" w:eastAsia="仿宋" w:cs="Times New Roman"/>
              <w:sz w:val="24"/>
              <w:szCs w:val="24"/>
              <w:lang w:eastAsia="zh-CN"/>
            </w:rPr>
            <w:instrText xml:space="preserve"> HYPERLINK \l _Toc18113 </w:instrText>
          </w:r>
          <w:r>
            <w:rPr>
              <w:rFonts w:hint="default" w:ascii="Times New Roman" w:hAnsi="Times New Roman" w:eastAsia="仿宋" w:cs="Times New Roman"/>
              <w:sz w:val="24"/>
              <w:szCs w:val="24"/>
              <w:lang w:eastAsia="zh-CN"/>
            </w:rPr>
            <w:fldChar w:fldCharType="separate"/>
          </w:r>
          <w:r>
            <w:rPr>
              <w:rFonts w:hint="default" w:ascii="Times New Roman" w:hAnsi="Times New Roman" w:eastAsia="仿宋" w:cs="Times New Roman"/>
              <w:bCs/>
              <w:sz w:val="24"/>
              <w:szCs w:val="24"/>
            </w:rPr>
            <w:t>附件</w:t>
          </w:r>
          <w:r>
            <w:rPr>
              <w:rFonts w:hint="default" w:ascii="Times New Roman" w:hAnsi="Times New Roman" w:eastAsia="仿宋" w:cs="Times New Roman"/>
              <w:bCs/>
              <w:sz w:val="24"/>
              <w:szCs w:val="24"/>
              <w:lang w:val="en-US" w:eastAsia="zh-CN"/>
            </w:rPr>
            <w:t>3</w:t>
          </w:r>
          <w:r>
            <w:rPr>
              <w:rFonts w:hint="default" w:ascii="Times New Roman" w:hAnsi="Times New Roman" w:eastAsia="仿宋" w:cs="Times New Roman"/>
              <w:bCs/>
              <w:sz w:val="24"/>
              <w:szCs w:val="24"/>
            </w:rPr>
            <w:t>：项目区位置及周围环境敏感点分布图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_Toc18113 \h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color w:val="auto"/>
              <w:sz w:val="24"/>
              <w:szCs w:val="24"/>
              <w:lang w:eastAsia="zh-CN"/>
            </w:rPr>
            <w:fldChar w:fldCharType="end"/>
          </w:r>
        </w:p>
        <w:p>
          <w:pPr>
            <w:pStyle w:val="2"/>
            <w:outlineLvl w:val="9"/>
            <w:rPr>
              <w:rFonts w:hint="eastAsia"/>
              <w:color w:val="auto"/>
              <w:lang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仿宋" w:cs="Times New Roman"/>
              <w:color w:val="auto"/>
              <w:sz w:val="24"/>
              <w:szCs w:val="24"/>
              <w:lang w:eastAsia="zh-CN"/>
            </w:rPr>
            <w:fldChar w:fldCharType="end"/>
          </w:r>
        </w:p>
      </w:sdtContent>
    </w:sdt>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textAlignment w:val="auto"/>
        <w:rPr>
          <w:rFonts w:hint="default" w:ascii="Times New Roman" w:hAnsi="Times New Roman" w:eastAsia="仿宋" w:cs="Times New Roman"/>
          <w:color w:val="auto"/>
          <w:sz w:val="30"/>
          <w:szCs w:val="30"/>
        </w:rPr>
      </w:pPr>
      <w:bookmarkStart w:id="6" w:name="_Toc7076"/>
      <w:bookmarkStart w:id="7" w:name="_Toc27238"/>
      <w:r>
        <w:rPr>
          <w:rFonts w:hint="default" w:ascii="Times New Roman" w:hAnsi="Times New Roman" w:eastAsia="仿宋" w:cs="Times New Roman"/>
          <w:color w:val="auto"/>
          <w:sz w:val="30"/>
          <w:szCs w:val="30"/>
        </w:rPr>
        <w:t>1前言</w:t>
      </w:r>
      <w:bookmarkEnd w:id="6"/>
      <w:bookmarkEnd w:id="7"/>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为贯彻落实“十三五”环境风险防控任务，保障人民群众的身体健康和环境安全，规范企业突发环境事件风险评估行为，为提高环境风险防控能力提供切实指导，为环保部门根据环境风险等级实施分级差别化管理提供技术支持，环保部于2018年2月5日发布了《企业突发环境事件风险分级方法》（HJ 941-2018），适用于对可能发生突发环境事件的企业进行环境风险分级。</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根据环保部2015年1月8日出台的《关于印发&lt;企业事业单位突发环境事件应急预案备案管理办法（试行）&gt;的通知》（环办[2015]4号），企业环境应急预案首次备案，需提交风险评估报告的纸质文件和电子文件。根据《企业事业单位突</w:t>
      </w:r>
      <w:bookmarkStart w:id="706" w:name="_GoBack"/>
      <w:bookmarkEnd w:id="706"/>
      <w:r>
        <w:rPr>
          <w:rFonts w:hint="default" w:ascii="Times New Roman" w:hAnsi="Times New Roman" w:eastAsia="仿宋" w:cs="Times New Roman"/>
          <w:color w:val="auto"/>
          <w:sz w:val="28"/>
          <w:szCs w:val="28"/>
        </w:rPr>
        <w:t>发环境事件应急预案评审工作指南（试行）》（环办应急[2018]8号），环境应急预案及其相关文件包括环境应急预案及其编制说明、环境风险评估报告、环境应急资源调查报告等文本。</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为有效防范环境风险和妥善处理突发环境事件，完善以预防为主的环境风险管理制度，严格落实企业环境安全主体责任，贯彻落实《突发事件应急预案管理办法》（国办发〔2013〕101号），根据环境保护部发布的《企业突发环境事件风险分级方法》（HJ 941-2018）要求，企业推进环境风险全过程管理，开展环境风险调查与评估。通过风险评估，有利于企业掌握自身环境风险状况，明确环境风险防护措施，提高企业应对突发环境事件的能力，同时减少事故发生。</w:t>
      </w:r>
    </w:p>
    <w:p>
      <w:pPr>
        <w:keepNext/>
        <w:keepLines/>
        <w:adjustRightInd w:val="0"/>
        <w:spacing w:line="360" w:lineRule="auto"/>
        <w:ind w:firstLine="560" w:firstLineChars="200"/>
        <w:jc w:val="center"/>
        <w:textAlignment w:val="baseline"/>
        <w:outlineLvl w:val="9"/>
        <w:rPr>
          <w:rStyle w:val="22"/>
          <w:rFonts w:hint="default" w:ascii="Times New Roman" w:hAnsi="Times New Roman" w:eastAsia="仿宋" w:cs="Times New Roman"/>
          <w:color w:val="auto"/>
          <w:sz w:val="28"/>
          <w:szCs w:val="28"/>
        </w:rPr>
        <w:sectPr>
          <w:footerReference r:id="rId5" w:type="default"/>
          <w:pgSz w:w="11906" w:h="16838"/>
          <w:pgMar w:top="1440" w:right="1800" w:bottom="1304" w:left="1800" w:header="851" w:footer="992" w:gutter="0"/>
          <w:pgBorders>
            <w:top w:val="none" w:sz="0" w:space="0"/>
            <w:left w:val="none" w:sz="0" w:space="0"/>
            <w:bottom w:val="none" w:sz="0" w:space="0"/>
            <w:right w:val="none" w:sz="0" w:space="0"/>
          </w:pgBorders>
          <w:pgNumType w:fmt="decimal" w:start="1"/>
          <w:cols w:space="720" w:num="1"/>
          <w:docGrid w:type="linesAndChars" w:linePitch="312" w:charSpace="0"/>
        </w:sectPr>
      </w:pPr>
      <w:bookmarkStart w:id="8" w:name="_Toc524645530"/>
      <w:bookmarkStart w:id="9" w:name="_Toc31409"/>
      <w:bookmarkStart w:id="10" w:name="_Toc1871_WPSOffice_Level1"/>
      <w:bookmarkStart w:id="11" w:name="_Toc27778_WPSOffice_Level1"/>
    </w:p>
    <w:p>
      <w:pPr>
        <w:keepNext/>
        <w:keepLines/>
        <w:pageBreakBefore w:val="0"/>
        <w:widowControl w:val="0"/>
        <w:kinsoku/>
        <w:wordWrap/>
        <w:overflowPunct/>
        <w:topLinePunct w:val="0"/>
        <w:autoSpaceDE/>
        <w:autoSpaceDN/>
        <w:bidi w:val="0"/>
        <w:adjustRightInd w:val="0"/>
        <w:snapToGrid w:val="0"/>
        <w:spacing w:line="360" w:lineRule="auto"/>
        <w:ind w:firstLine="602" w:firstLineChars="200"/>
        <w:jc w:val="center"/>
        <w:textAlignment w:val="baseline"/>
        <w:outlineLvl w:val="0"/>
        <w:rPr>
          <w:rFonts w:hint="default" w:ascii="Times New Roman" w:hAnsi="Times New Roman" w:eastAsia="仿宋" w:cs="Times New Roman"/>
          <w:b/>
          <w:bCs/>
          <w:color w:val="auto"/>
          <w:sz w:val="30"/>
          <w:szCs w:val="30"/>
        </w:rPr>
      </w:pPr>
      <w:bookmarkStart w:id="12" w:name="_Toc15973_WPSOffice_Level1"/>
      <w:bookmarkStart w:id="13" w:name="_Toc32537"/>
      <w:bookmarkStart w:id="14" w:name="_Toc18573"/>
      <w:bookmarkStart w:id="15" w:name="_Toc17633"/>
      <w:bookmarkStart w:id="16" w:name="_Toc5092"/>
      <w:bookmarkStart w:id="17" w:name="_Toc13031"/>
      <w:bookmarkStart w:id="18" w:name="_Toc7684_WPSOffice_Level1"/>
      <w:bookmarkStart w:id="19" w:name="_Toc17732456"/>
      <w:bookmarkStart w:id="20" w:name="_Toc32097"/>
      <w:bookmarkStart w:id="21" w:name="_Toc27287"/>
      <w:r>
        <w:rPr>
          <w:rStyle w:val="22"/>
          <w:rFonts w:hint="default" w:ascii="Times New Roman" w:hAnsi="Times New Roman" w:eastAsia="仿宋" w:cs="Times New Roman"/>
          <w:color w:val="auto"/>
          <w:sz w:val="30"/>
          <w:szCs w:val="30"/>
        </w:rPr>
        <w:t>2总则</w:t>
      </w:r>
      <w:bookmarkEnd w:id="8"/>
      <w:bookmarkEnd w:id="9"/>
      <w:bookmarkEnd w:id="10"/>
      <w:bookmarkEnd w:id="11"/>
      <w:bookmarkEnd w:id="12"/>
      <w:bookmarkEnd w:id="13"/>
      <w:bookmarkEnd w:id="14"/>
      <w:bookmarkEnd w:id="15"/>
      <w:bookmarkEnd w:id="16"/>
      <w:bookmarkEnd w:id="17"/>
      <w:bookmarkEnd w:id="18"/>
      <w:bookmarkEnd w:id="19"/>
      <w:bookmarkEnd w:id="20"/>
      <w:bookmarkEnd w:id="21"/>
    </w:p>
    <w:p>
      <w:pPr>
        <w:pStyle w:val="2"/>
        <w:pageBreakBefore w:val="0"/>
        <w:widowControl w:val="0"/>
        <w:kinsoku/>
        <w:wordWrap/>
        <w:overflowPunct/>
        <w:topLinePunct w:val="0"/>
        <w:autoSpaceDE/>
        <w:autoSpaceDN/>
        <w:bidi w:val="0"/>
        <w:adjustRightInd w:val="0"/>
        <w:snapToGrid w:val="0"/>
        <w:spacing w:before="0" w:after="0" w:line="360" w:lineRule="auto"/>
        <w:ind w:firstLine="562" w:firstLineChars="200"/>
        <w:jc w:val="left"/>
        <w:outlineLvl w:val="0"/>
        <w:rPr>
          <w:rFonts w:hint="default" w:ascii="Times New Roman" w:hAnsi="Times New Roman" w:eastAsia="仿宋" w:cs="Times New Roman"/>
          <w:color w:val="auto"/>
          <w:sz w:val="28"/>
          <w:szCs w:val="28"/>
        </w:rPr>
      </w:pPr>
      <w:bookmarkStart w:id="22" w:name="_Toc16205"/>
      <w:bookmarkStart w:id="23" w:name="_Toc3226_WPSOffice_Level1"/>
      <w:bookmarkStart w:id="24" w:name="_Toc18667_WPSOffice_Level1"/>
      <w:bookmarkStart w:id="25" w:name="_Toc5175"/>
      <w:bookmarkStart w:id="26" w:name="_Toc524645531"/>
      <w:bookmarkStart w:id="27" w:name="_Toc18749_WPSOffice_Level1"/>
      <w:bookmarkStart w:id="28" w:name="_Toc21794"/>
      <w:bookmarkStart w:id="29" w:name="_Toc17732457"/>
      <w:bookmarkStart w:id="30" w:name="_Toc1456_WPSOffice_Level1"/>
      <w:bookmarkStart w:id="31" w:name="_Toc3068"/>
      <w:bookmarkStart w:id="32" w:name="_Toc15612"/>
      <w:bookmarkStart w:id="33" w:name="_Toc3000"/>
      <w:bookmarkStart w:id="34" w:name="_Toc23058"/>
      <w:bookmarkStart w:id="35" w:name="_Toc25928"/>
      <w:r>
        <w:rPr>
          <w:rFonts w:hint="default" w:ascii="Times New Roman" w:hAnsi="Times New Roman" w:eastAsia="仿宋" w:cs="Times New Roman"/>
          <w:color w:val="auto"/>
          <w:sz w:val="28"/>
          <w:szCs w:val="28"/>
        </w:rPr>
        <w:t>2.1编制目的</w:t>
      </w:r>
      <w:bookmarkEnd w:id="22"/>
      <w:bookmarkEnd w:id="23"/>
      <w:bookmarkEnd w:id="24"/>
      <w:bookmarkEnd w:id="25"/>
      <w:bookmarkEnd w:id="26"/>
      <w:bookmarkEnd w:id="27"/>
      <w:bookmarkEnd w:id="28"/>
      <w:bookmarkEnd w:id="29"/>
      <w:bookmarkEnd w:id="30"/>
      <w:bookmarkEnd w:id="31"/>
      <w:bookmarkEnd w:id="32"/>
      <w:bookmarkEnd w:id="33"/>
      <w:bookmarkEnd w:id="34"/>
      <w:bookmarkEnd w:id="35"/>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1</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通过系统性的分析和测算，识别公司环境风险物质，环境风险装置，确定环境风险源，计算其对外环境敏感点的影响后果，评估企业现有防控能力和水平，并提出切实可行降低环境风险的措施和工作思路；</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2</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作为企业环境风险防范的基础文件，为环境应急预案、管理和工程上的改进提供依据；</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3</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为企业安全生产管理、职业卫生健康、消防管理提供帮助。</w:t>
      </w:r>
    </w:p>
    <w:p>
      <w:pPr>
        <w:pStyle w:val="2"/>
        <w:pageBreakBefore w:val="0"/>
        <w:widowControl w:val="0"/>
        <w:kinsoku/>
        <w:wordWrap/>
        <w:overflowPunct/>
        <w:topLinePunct w:val="0"/>
        <w:autoSpaceDE/>
        <w:autoSpaceDN/>
        <w:bidi w:val="0"/>
        <w:adjustRightInd w:val="0"/>
        <w:snapToGrid w:val="0"/>
        <w:spacing w:before="0" w:after="0" w:line="360" w:lineRule="auto"/>
        <w:ind w:firstLine="562" w:firstLineChars="200"/>
        <w:outlineLvl w:val="0"/>
        <w:rPr>
          <w:rFonts w:hint="default" w:ascii="Times New Roman" w:hAnsi="Times New Roman" w:eastAsia="仿宋" w:cs="Times New Roman"/>
          <w:color w:val="auto"/>
          <w:sz w:val="28"/>
          <w:szCs w:val="28"/>
        </w:rPr>
      </w:pPr>
      <w:bookmarkStart w:id="36" w:name="_Toc28512"/>
      <w:bookmarkStart w:id="37" w:name="_Toc21764_WPSOffice_Level1"/>
      <w:bookmarkStart w:id="38" w:name="_Toc2635_WPSOffice_Level1"/>
      <w:bookmarkStart w:id="39" w:name="_Toc14971"/>
      <w:bookmarkStart w:id="40" w:name="_Toc3480"/>
      <w:bookmarkStart w:id="41" w:name="_Toc7895_WPSOffice_Level1"/>
      <w:bookmarkStart w:id="42" w:name="_Toc26421_WPSOffice_Level1"/>
      <w:bookmarkStart w:id="43" w:name="_Toc524645532"/>
      <w:bookmarkStart w:id="44" w:name="_Toc501"/>
      <w:bookmarkStart w:id="45" w:name="_Toc571"/>
      <w:bookmarkStart w:id="46" w:name="_Toc9259"/>
      <w:bookmarkStart w:id="47" w:name="_Toc7168"/>
      <w:bookmarkStart w:id="48" w:name="_Toc17732458"/>
      <w:bookmarkStart w:id="49" w:name="_Toc28293"/>
      <w:r>
        <w:rPr>
          <w:rFonts w:hint="default" w:ascii="Times New Roman" w:hAnsi="Times New Roman" w:eastAsia="仿宋" w:cs="Times New Roman"/>
          <w:color w:val="auto"/>
          <w:sz w:val="28"/>
          <w:szCs w:val="28"/>
        </w:rPr>
        <w:t>2.2编制原则</w:t>
      </w:r>
      <w:bookmarkEnd w:id="36"/>
      <w:bookmarkEnd w:id="37"/>
      <w:bookmarkEnd w:id="38"/>
      <w:bookmarkEnd w:id="39"/>
      <w:bookmarkEnd w:id="40"/>
      <w:bookmarkEnd w:id="41"/>
      <w:bookmarkEnd w:id="42"/>
      <w:bookmarkEnd w:id="43"/>
      <w:bookmarkEnd w:id="44"/>
      <w:bookmarkEnd w:id="45"/>
      <w:bookmarkEnd w:id="46"/>
      <w:bookmarkEnd w:id="47"/>
      <w:bookmarkEnd w:id="48"/>
      <w:bookmarkEnd w:id="49"/>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按照“以人为本”的宗旨，合理保障人民群众的身体健康和环境安全，严格规范企业突发环境事件风险评估行为，提高突发环境事件防控能力，全面落实企业环境风险防控主体，并遵循以下原则开展环境风险评估工作：</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环境风险评估编制应体现科学性、规范性、客观性和真实性的原则。</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环境风险评估过程中应贯彻执行我国环保相关的法律法规、标准、政策，分析企业自身环境风险状况，明确环境风险防控措施。</w:t>
      </w:r>
    </w:p>
    <w:p>
      <w:pPr>
        <w:pStyle w:val="2"/>
        <w:pageBreakBefore w:val="0"/>
        <w:widowControl w:val="0"/>
        <w:kinsoku/>
        <w:wordWrap/>
        <w:overflowPunct/>
        <w:topLinePunct w:val="0"/>
        <w:autoSpaceDE/>
        <w:autoSpaceDN/>
        <w:bidi w:val="0"/>
        <w:adjustRightInd w:val="0"/>
        <w:snapToGrid w:val="0"/>
        <w:spacing w:before="0" w:after="0" w:line="360" w:lineRule="auto"/>
        <w:ind w:firstLine="562" w:firstLineChars="200"/>
        <w:outlineLvl w:val="0"/>
        <w:rPr>
          <w:rFonts w:hint="default" w:ascii="Times New Roman" w:hAnsi="Times New Roman" w:eastAsia="仿宋" w:cs="Times New Roman"/>
          <w:color w:val="auto"/>
          <w:sz w:val="28"/>
          <w:szCs w:val="28"/>
        </w:rPr>
      </w:pPr>
      <w:bookmarkStart w:id="50" w:name="_Toc17265"/>
      <w:bookmarkStart w:id="51" w:name="_Toc15250_WPSOffice_Level1"/>
      <w:bookmarkStart w:id="52" w:name="_Toc524645533"/>
      <w:bookmarkStart w:id="53" w:name="_Toc14886_WPSOffice_Level1"/>
      <w:bookmarkStart w:id="54" w:name="_Toc3584_WPSOffice_Level1"/>
      <w:bookmarkStart w:id="55" w:name="_Toc28464"/>
      <w:bookmarkStart w:id="56" w:name="_Toc9715"/>
      <w:bookmarkStart w:id="57" w:name="_Toc17732459"/>
      <w:bookmarkStart w:id="58" w:name="_Toc6096"/>
      <w:bookmarkStart w:id="59" w:name="_Toc29284"/>
      <w:bookmarkStart w:id="60" w:name="_Toc5908"/>
      <w:bookmarkStart w:id="61" w:name="_Toc1333"/>
      <w:bookmarkStart w:id="62" w:name="_Toc24098"/>
      <w:bookmarkStart w:id="63" w:name="_Toc30517_WPSOffice_Level1"/>
      <w:r>
        <w:rPr>
          <w:rFonts w:hint="default" w:ascii="Times New Roman" w:hAnsi="Times New Roman" w:eastAsia="仿宋" w:cs="Times New Roman"/>
          <w:color w:val="auto"/>
          <w:sz w:val="28"/>
          <w:szCs w:val="28"/>
        </w:rPr>
        <w:t>2.3适用范围</w:t>
      </w:r>
      <w:bookmarkEnd w:id="50"/>
      <w:bookmarkEnd w:id="51"/>
      <w:bookmarkEnd w:id="52"/>
      <w:bookmarkEnd w:id="53"/>
      <w:bookmarkEnd w:id="54"/>
      <w:bookmarkEnd w:id="55"/>
      <w:bookmarkEnd w:id="56"/>
      <w:bookmarkEnd w:id="57"/>
      <w:bookmarkEnd w:id="58"/>
      <w:bookmarkEnd w:id="59"/>
      <w:bookmarkEnd w:id="60"/>
      <w:bookmarkEnd w:id="61"/>
      <w:bookmarkEnd w:id="62"/>
      <w:bookmarkEnd w:id="63"/>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4"/>
          <w:szCs w:val="28"/>
        </w:rPr>
      </w:pPr>
      <w:r>
        <w:rPr>
          <w:rFonts w:hint="default" w:ascii="Times New Roman" w:hAnsi="Times New Roman" w:eastAsia="仿宋" w:cs="Times New Roman"/>
          <w:color w:val="auto"/>
          <w:sz w:val="28"/>
          <w:szCs w:val="28"/>
        </w:rPr>
        <w:t>适用于</w:t>
      </w:r>
      <w:r>
        <w:rPr>
          <w:rFonts w:hint="eastAsia" w:ascii="Times New Roman" w:hAnsi="Times New Roman" w:eastAsia="仿宋" w:cs="Times New Roman"/>
          <w:color w:val="auto"/>
          <w:sz w:val="28"/>
          <w:szCs w:val="28"/>
          <w:lang w:eastAsia="zh-CN"/>
        </w:rPr>
        <w:t>九冶钢结构有限公司</w:t>
      </w:r>
      <w:r>
        <w:rPr>
          <w:rFonts w:hint="default" w:ascii="Times New Roman" w:hAnsi="Times New Roman" w:eastAsia="仿宋" w:cs="Times New Roman"/>
          <w:color w:val="auto"/>
          <w:sz w:val="28"/>
          <w:szCs w:val="28"/>
        </w:rPr>
        <w:t>环境应急预案的编制、管理上的改进、环境风险防控工程的改进、应急物资的准备、工艺改造参考资料、其它与周边环境影响有关的活动。此报告仅对截止到目前公司正常连续生产情况下做出的评估，不适用于企业改扩建、技术升级改造、以及其它重大变化情况。</w:t>
      </w:r>
    </w:p>
    <w:p>
      <w:pPr>
        <w:pStyle w:val="2"/>
        <w:pageBreakBefore w:val="0"/>
        <w:widowControl w:val="0"/>
        <w:kinsoku/>
        <w:wordWrap/>
        <w:overflowPunct/>
        <w:topLinePunct w:val="0"/>
        <w:autoSpaceDE/>
        <w:autoSpaceDN/>
        <w:bidi w:val="0"/>
        <w:adjustRightInd w:val="0"/>
        <w:snapToGrid w:val="0"/>
        <w:spacing w:before="0" w:after="0" w:line="360" w:lineRule="auto"/>
        <w:ind w:firstLine="562" w:firstLineChars="200"/>
        <w:outlineLvl w:val="0"/>
        <w:rPr>
          <w:rFonts w:hint="default" w:ascii="Times New Roman" w:hAnsi="Times New Roman" w:eastAsia="仿宋" w:cs="Times New Roman"/>
          <w:color w:val="auto"/>
          <w:sz w:val="28"/>
          <w:szCs w:val="28"/>
        </w:rPr>
      </w:pPr>
      <w:bookmarkStart w:id="64" w:name="_Toc2833"/>
      <w:bookmarkStart w:id="65" w:name="_Toc10406"/>
      <w:bookmarkStart w:id="66" w:name="_Toc524645534"/>
      <w:bookmarkStart w:id="67" w:name="_Toc27351"/>
      <w:bookmarkStart w:id="68" w:name="_Toc19602"/>
      <w:bookmarkStart w:id="69" w:name="_Toc7874_WPSOffice_Level1"/>
      <w:bookmarkStart w:id="70" w:name="_Toc8333_WPSOffice_Level1"/>
      <w:bookmarkStart w:id="71" w:name="_Toc7"/>
      <w:bookmarkStart w:id="72" w:name="_Toc21344"/>
      <w:bookmarkStart w:id="73" w:name="_Toc7773"/>
      <w:bookmarkStart w:id="74" w:name="_Toc29007"/>
      <w:bookmarkStart w:id="75" w:name="_Toc34_WPSOffice_Level1"/>
      <w:bookmarkStart w:id="76" w:name="_Toc16086_WPSOffice_Level1"/>
      <w:bookmarkStart w:id="77" w:name="_Toc17732460"/>
      <w:r>
        <w:rPr>
          <w:rFonts w:hint="default" w:ascii="Times New Roman" w:hAnsi="Times New Roman" w:eastAsia="仿宋" w:cs="Times New Roman"/>
          <w:color w:val="auto"/>
          <w:sz w:val="28"/>
          <w:szCs w:val="28"/>
        </w:rPr>
        <w:t>2.4编制依据</w:t>
      </w:r>
      <w:bookmarkEnd w:id="64"/>
      <w:bookmarkEnd w:id="65"/>
      <w:bookmarkEnd w:id="66"/>
      <w:bookmarkEnd w:id="67"/>
      <w:bookmarkEnd w:id="68"/>
      <w:bookmarkEnd w:id="69"/>
      <w:bookmarkEnd w:id="70"/>
      <w:bookmarkEnd w:id="71"/>
      <w:bookmarkEnd w:id="72"/>
      <w:bookmarkEnd w:id="73"/>
      <w:bookmarkEnd w:id="74"/>
      <w:bookmarkEnd w:id="75"/>
      <w:bookmarkEnd w:id="76"/>
      <w:bookmarkEnd w:id="77"/>
    </w:p>
    <w:p>
      <w:pPr>
        <w:pageBreakBefore w:val="0"/>
        <w:widowControl w:val="0"/>
        <w:kinsoku/>
        <w:wordWrap/>
        <w:overflowPunct/>
        <w:topLinePunct w:val="0"/>
        <w:autoSpaceDE/>
        <w:autoSpaceDN/>
        <w:bidi w:val="0"/>
        <w:adjustRightInd w:val="0"/>
        <w:snapToGrid w:val="0"/>
        <w:spacing w:line="360" w:lineRule="auto"/>
        <w:ind w:firstLine="562" w:firstLineChars="200"/>
        <w:outlineLvl w:val="1"/>
        <w:rPr>
          <w:rFonts w:hint="default" w:ascii="Times New Roman" w:hAnsi="Times New Roman" w:eastAsia="仿宋" w:cs="Times New Roman"/>
          <w:b/>
          <w:bCs/>
          <w:color w:val="auto"/>
          <w:sz w:val="28"/>
          <w:szCs w:val="28"/>
        </w:rPr>
      </w:pPr>
      <w:bookmarkStart w:id="78" w:name="_Toc12999"/>
      <w:bookmarkStart w:id="79" w:name="_Toc19664_WPSOffice_Level2"/>
      <w:bookmarkStart w:id="80" w:name="_Toc8241_WPSOffice_Level2"/>
      <w:bookmarkStart w:id="81" w:name="_Toc4696"/>
      <w:bookmarkStart w:id="82" w:name="_Toc12165"/>
      <w:bookmarkStart w:id="83" w:name="_Toc26370"/>
      <w:bookmarkStart w:id="84" w:name="_Toc20218"/>
      <w:r>
        <w:rPr>
          <w:rFonts w:hint="default" w:ascii="Times New Roman" w:hAnsi="Times New Roman" w:eastAsia="仿宋" w:cs="Times New Roman"/>
          <w:b/>
          <w:bCs/>
          <w:color w:val="auto"/>
          <w:sz w:val="28"/>
          <w:szCs w:val="28"/>
        </w:rPr>
        <w:t>2.</w:t>
      </w:r>
      <w:r>
        <w:rPr>
          <w:rFonts w:hint="default" w:ascii="Times New Roman" w:hAnsi="Times New Roman" w:eastAsia="仿宋" w:cs="Times New Roman"/>
          <w:b/>
          <w:bCs/>
          <w:color w:val="auto"/>
          <w:sz w:val="28"/>
          <w:szCs w:val="28"/>
          <w:lang w:val="en-US" w:eastAsia="zh-CN"/>
        </w:rPr>
        <w:t>4</w:t>
      </w:r>
      <w:r>
        <w:rPr>
          <w:rFonts w:hint="default" w:ascii="Times New Roman" w:hAnsi="Times New Roman" w:eastAsia="仿宋" w:cs="Times New Roman"/>
          <w:b/>
          <w:bCs/>
          <w:color w:val="auto"/>
          <w:sz w:val="28"/>
          <w:szCs w:val="28"/>
        </w:rPr>
        <w:t>.1 法律法规、规章</w:t>
      </w:r>
      <w:bookmarkEnd w:id="78"/>
      <w:bookmarkEnd w:id="79"/>
      <w:bookmarkEnd w:id="80"/>
      <w:bookmarkEnd w:id="81"/>
      <w:bookmarkEnd w:id="82"/>
      <w:bookmarkEnd w:id="83"/>
      <w:bookmarkEnd w:id="84"/>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bookmarkStart w:id="85" w:name="_Toc4720_WPSOffice_Level2"/>
      <w:bookmarkStart w:id="86" w:name="_Toc15787_WPSOffice_Level2"/>
      <w:r>
        <w:rPr>
          <w:rFonts w:hint="default" w:ascii="Times New Roman" w:hAnsi="Times New Roman" w:eastAsia="仿宋" w:cs="Times New Roman"/>
          <w:color w:val="auto"/>
          <w:sz w:val="28"/>
          <w:szCs w:val="28"/>
        </w:rPr>
        <w:t>（1）《中华人民共和国环境保护法》（2015 年 1 月 1 日实施）</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2</w:t>
      </w:r>
      <w:r>
        <w:rPr>
          <w:rFonts w:hint="default" w:ascii="Times New Roman" w:hAnsi="Times New Roman" w:eastAsia="仿宋" w:cs="Times New Roman"/>
          <w:color w:val="auto"/>
          <w:sz w:val="28"/>
          <w:szCs w:val="28"/>
        </w:rPr>
        <w:t>）《中华人民共和国大气污染防治法》（2016 年 1 月 1 日实施）</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3</w:t>
      </w:r>
      <w:r>
        <w:rPr>
          <w:rFonts w:hint="default" w:ascii="Times New Roman" w:hAnsi="Times New Roman" w:eastAsia="仿宋" w:cs="Times New Roman"/>
          <w:color w:val="auto"/>
          <w:sz w:val="28"/>
          <w:szCs w:val="28"/>
        </w:rPr>
        <w:t>）《中华人民共和国水污染防治法》（2018 年 1 月 1 日实施）</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4</w:t>
      </w:r>
      <w:r>
        <w:rPr>
          <w:rFonts w:hint="default" w:ascii="Times New Roman" w:hAnsi="Times New Roman" w:eastAsia="仿宋" w:cs="Times New Roman"/>
          <w:color w:val="auto"/>
          <w:sz w:val="28"/>
          <w:szCs w:val="28"/>
        </w:rPr>
        <w:t>）《中华人民共和国固体废物污染环境防治法》（2020 年 9 月 1 日实施）</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5</w:t>
      </w:r>
      <w:r>
        <w:rPr>
          <w:rFonts w:hint="default" w:ascii="Times New Roman" w:hAnsi="Times New Roman" w:eastAsia="仿宋" w:cs="Times New Roman"/>
          <w:color w:val="auto"/>
          <w:sz w:val="28"/>
          <w:szCs w:val="28"/>
        </w:rPr>
        <w:t>）《中华人民共和国突发事件应对法》（2007 年 11 月 1 日实施）</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6</w:t>
      </w:r>
      <w:r>
        <w:rPr>
          <w:rFonts w:hint="default" w:ascii="Times New Roman" w:hAnsi="Times New Roman" w:eastAsia="仿宋" w:cs="Times New Roman"/>
          <w:color w:val="auto"/>
          <w:sz w:val="28"/>
          <w:szCs w:val="28"/>
        </w:rPr>
        <w:t>）《中华人民共和国安全生产法》（2014 年 12 月 1 日实施）</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7</w:t>
      </w:r>
      <w:r>
        <w:rPr>
          <w:rFonts w:hint="default" w:ascii="Times New Roman" w:hAnsi="Times New Roman" w:eastAsia="仿宋" w:cs="Times New Roman"/>
          <w:color w:val="auto"/>
          <w:sz w:val="28"/>
          <w:szCs w:val="28"/>
        </w:rPr>
        <w:t>）《中华人民共和国消防法》（2009 年 5 月 1 日起施行 ）</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8</w:t>
      </w:r>
      <w:r>
        <w:rPr>
          <w:rFonts w:hint="default" w:ascii="Times New Roman" w:hAnsi="Times New Roman" w:eastAsia="仿宋" w:cs="Times New Roman"/>
          <w:color w:val="auto"/>
          <w:sz w:val="28"/>
          <w:szCs w:val="28"/>
        </w:rPr>
        <w:t>）《国家突发环境事件应急预案》（2014 年 12 月 29 日实施）</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9</w:t>
      </w:r>
      <w:r>
        <w:rPr>
          <w:rFonts w:hint="default" w:ascii="Times New Roman" w:hAnsi="Times New Roman" w:eastAsia="仿宋" w:cs="Times New Roman"/>
          <w:color w:val="auto"/>
          <w:sz w:val="28"/>
          <w:szCs w:val="28"/>
        </w:rPr>
        <w:t>）《国家突发公共事件总体应急预案》（2006 年 1 月 8 日起施行）</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10</w:t>
      </w:r>
      <w:r>
        <w:rPr>
          <w:rFonts w:hint="default" w:ascii="Times New Roman" w:hAnsi="Times New Roman" w:eastAsia="仿宋" w:cs="Times New Roman"/>
          <w:color w:val="auto"/>
          <w:sz w:val="28"/>
          <w:szCs w:val="28"/>
        </w:rPr>
        <w:t>）《危险化学品安全管理条例》（2011 年 12 月 1 日实施）</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11</w:t>
      </w:r>
      <w:r>
        <w:rPr>
          <w:rFonts w:hint="default" w:ascii="Times New Roman" w:hAnsi="Times New Roman" w:eastAsia="仿宋" w:cs="Times New Roman"/>
          <w:color w:val="auto"/>
          <w:sz w:val="28"/>
          <w:szCs w:val="28"/>
        </w:rPr>
        <w:t>）《突发环境事件信息报告办法》（环境保护部令第 17 号）</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12</w:t>
      </w:r>
      <w:r>
        <w:rPr>
          <w:rFonts w:hint="default" w:ascii="Times New Roman" w:hAnsi="Times New Roman" w:eastAsia="仿宋" w:cs="Times New Roman"/>
          <w:color w:val="auto"/>
          <w:sz w:val="28"/>
          <w:szCs w:val="28"/>
        </w:rPr>
        <w:t>）《危险化学品目录（2015 年版）》（2015 年 5 月 1 日起实施）</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13</w:t>
      </w:r>
      <w:r>
        <w:rPr>
          <w:rFonts w:hint="default" w:ascii="Times New Roman" w:hAnsi="Times New Roman" w:eastAsia="仿宋" w:cs="Times New Roman"/>
          <w:color w:val="auto"/>
          <w:sz w:val="28"/>
          <w:szCs w:val="28"/>
        </w:rPr>
        <w:t>）《危险化学品事故应急救援预案编制（单位版）》（2004 年 4月 8 日）</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14</w:t>
      </w:r>
      <w:r>
        <w:rPr>
          <w:rFonts w:hint="default" w:ascii="Times New Roman" w:hAnsi="Times New Roman" w:eastAsia="仿宋" w:cs="Times New Roman"/>
          <w:color w:val="auto"/>
          <w:sz w:val="28"/>
          <w:szCs w:val="28"/>
        </w:rPr>
        <w:t>）《国家危险废物名录》（2021 年 1 月 1 日起施行）</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15</w:t>
      </w:r>
      <w:r>
        <w:rPr>
          <w:rFonts w:hint="default" w:ascii="Times New Roman" w:hAnsi="Times New Roman" w:eastAsia="仿宋" w:cs="Times New Roman"/>
          <w:color w:val="auto"/>
          <w:sz w:val="28"/>
          <w:szCs w:val="28"/>
        </w:rPr>
        <w:t>）《突发环境事件信息报告办法》（环境保护部令第 17 号）；</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16</w:t>
      </w:r>
      <w:r>
        <w:rPr>
          <w:rFonts w:hint="default" w:ascii="Times New Roman" w:hAnsi="Times New Roman" w:eastAsia="仿宋" w:cs="Times New Roman"/>
          <w:color w:val="auto"/>
          <w:sz w:val="28"/>
          <w:szCs w:val="28"/>
        </w:rPr>
        <w:t>）《国务院关于加强环境保护重点工作的意见》（国发[2011]35号）；</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17</w:t>
      </w:r>
      <w:r>
        <w:rPr>
          <w:rFonts w:hint="default" w:ascii="Times New Roman" w:hAnsi="Times New Roman" w:eastAsia="仿宋" w:cs="Times New Roman"/>
          <w:color w:val="auto"/>
          <w:sz w:val="28"/>
          <w:szCs w:val="28"/>
        </w:rPr>
        <w:t>）《危险化学品重大危险源监督管理暂行规定》（安全监管总局令第 40 号）；</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18</w:t>
      </w:r>
      <w:r>
        <w:rPr>
          <w:rFonts w:hint="default" w:ascii="Times New Roman" w:hAnsi="Times New Roman" w:eastAsia="仿宋" w:cs="Times New Roman"/>
          <w:color w:val="auto"/>
          <w:sz w:val="28"/>
          <w:szCs w:val="28"/>
        </w:rPr>
        <w:t>）《危险化学品生产企业安全生产许可证实施办法》（国家安全生产监督管理总局令第 41 号）；</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19</w:t>
      </w:r>
      <w:r>
        <w:rPr>
          <w:rFonts w:hint="default" w:ascii="Times New Roman" w:hAnsi="Times New Roman" w:eastAsia="仿宋" w:cs="Times New Roman"/>
          <w:color w:val="auto"/>
          <w:sz w:val="28"/>
          <w:szCs w:val="28"/>
        </w:rPr>
        <w:t>）《突发环境事件应急预案管理办法》（国办发[2013]101 号）；</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20</w:t>
      </w:r>
      <w:r>
        <w:rPr>
          <w:rFonts w:hint="default" w:ascii="Times New Roman" w:hAnsi="Times New Roman" w:eastAsia="仿宋" w:cs="Times New Roman"/>
          <w:color w:val="auto"/>
          <w:sz w:val="28"/>
          <w:szCs w:val="28"/>
        </w:rPr>
        <w:t>）《重点监管的危险化学品名录》（2013 年完整版）；</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21</w:t>
      </w:r>
      <w:r>
        <w:rPr>
          <w:rFonts w:hint="default" w:ascii="Times New Roman" w:hAnsi="Times New Roman" w:eastAsia="仿宋" w:cs="Times New Roman"/>
          <w:color w:val="auto"/>
          <w:sz w:val="28"/>
          <w:szCs w:val="28"/>
        </w:rPr>
        <w:t>）《企业突发环境事件应风险防控监督管理办法》（征求意见稿）。</w:t>
      </w:r>
    </w:p>
    <w:p>
      <w:pPr>
        <w:pageBreakBefore w:val="0"/>
        <w:widowControl w:val="0"/>
        <w:kinsoku/>
        <w:wordWrap/>
        <w:overflowPunct/>
        <w:topLinePunct w:val="0"/>
        <w:autoSpaceDE/>
        <w:autoSpaceDN/>
        <w:bidi w:val="0"/>
        <w:adjustRightInd w:val="0"/>
        <w:snapToGrid w:val="0"/>
        <w:spacing w:line="360" w:lineRule="auto"/>
        <w:ind w:firstLine="562" w:firstLineChars="200"/>
        <w:outlineLvl w:val="1"/>
        <w:rPr>
          <w:rFonts w:hint="default" w:ascii="Times New Roman" w:hAnsi="Times New Roman" w:eastAsia="仿宋" w:cs="Times New Roman"/>
          <w:b/>
          <w:bCs/>
          <w:color w:val="auto"/>
          <w:sz w:val="28"/>
          <w:szCs w:val="28"/>
        </w:rPr>
      </w:pPr>
      <w:bookmarkStart w:id="87" w:name="_Toc30145"/>
      <w:bookmarkStart w:id="88" w:name="_Toc23180"/>
      <w:bookmarkStart w:id="89" w:name="_Toc7994"/>
      <w:bookmarkStart w:id="90" w:name="_Toc17107"/>
      <w:bookmarkStart w:id="91" w:name="_Toc28584"/>
      <w:r>
        <w:rPr>
          <w:rFonts w:hint="default" w:ascii="Times New Roman" w:hAnsi="Times New Roman" w:eastAsia="仿宋" w:cs="Times New Roman"/>
          <w:b/>
          <w:bCs/>
          <w:color w:val="auto"/>
          <w:sz w:val="28"/>
          <w:szCs w:val="28"/>
        </w:rPr>
        <w:t>2.</w:t>
      </w:r>
      <w:r>
        <w:rPr>
          <w:rFonts w:hint="default" w:ascii="Times New Roman" w:hAnsi="Times New Roman" w:eastAsia="仿宋" w:cs="Times New Roman"/>
          <w:b/>
          <w:bCs/>
          <w:color w:val="auto"/>
          <w:sz w:val="28"/>
          <w:szCs w:val="28"/>
          <w:lang w:val="en-US" w:eastAsia="zh-CN"/>
        </w:rPr>
        <w:t>4</w:t>
      </w:r>
      <w:r>
        <w:rPr>
          <w:rFonts w:hint="default" w:ascii="Times New Roman" w:hAnsi="Times New Roman" w:eastAsia="仿宋" w:cs="Times New Roman"/>
          <w:b/>
          <w:bCs/>
          <w:color w:val="auto"/>
          <w:sz w:val="28"/>
          <w:szCs w:val="28"/>
        </w:rPr>
        <w:t>.2 技术规范、标准</w:t>
      </w:r>
      <w:bookmarkEnd w:id="85"/>
      <w:bookmarkEnd w:id="86"/>
      <w:bookmarkEnd w:id="87"/>
      <w:bookmarkEnd w:id="88"/>
      <w:bookmarkEnd w:id="89"/>
      <w:bookmarkEnd w:id="90"/>
      <w:bookmarkEnd w:id="91"/>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bookmarkStart w:id="92" w:name="_Toc9499"/>
      <w:bookmarkStart w:id="93" w:name="_Toc2705"/>
      <w:bookmarkStart w:id="94" w:name="_Toc30714"/>
      <w:bookmarkStart w:id="95" w:name="_Toc26597_WPSOffice_Level1"/>
      <w:bookmarkStart w:id="96" w:name="_Toc17355"/>
      <w:bookmarkStart w:id="97" w:name="_Toc22940"/>
      <w:bookmarkStart w:id="98" w:name="_Toc17732461"/>
      <w:bookmarkStart w:id="99" w:name="_Toc524645535"/>
      <w:bookmarkStart w:id="100" w:name="_Toc21105_WPSOffice_Level1"/>
      <w:bookmarkStart w:id="101" w:name="_Toc29610_WPSOffice_Level1"/>
      <w:bookmarkStart w:id="102" w:name="_Toc27727"/>
      <w:bookmarkStart w:id="103" w:name="_Toc11804_WPSOffice_Level1"/>
      <w:r>
        <w:rPr>
          <w:rFonts w:hint="default" w:ascii="Times New Roman" w:hAnsi="Times New Roman" w:eastAsia="仿宋" w:cs="Times New Roman"/>
          <w:color w:val="auto"/>
          <w:sz w:val="28"/>
          <w:szCs w:val="28"/>
        </w:rPr>
        <w:t>（1）《建设项目环境风险评价技术导则》（HJ/T169-2018）；</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（2）《危险化学品重大危险源辨识》（GB 18218-2018）；</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（3）《国家危险废物名录》（2021版）；</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（4）《危险废物贮存污染控制标准》（GB18597-2001），2013年修改；</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（5）《危险化学品重大危险源监督管理暂行规定》（国家安全生产监督管理总局令第40号），2015年7月1日修改；</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（6）《突发环境事件应急监测技术规范》（HJ 589-20</w:t>
      </w:r>
      <w:r>
        <w:rPr>
          <w:rFonts w:hint="eastAsia" w:ascii="Times New Roman" w:hAnsi="Times New Roman" w:eastAsia="仿宋" w:cs="Times New Roman"/>
          <w:color w:val="auto"/>
          <w:sz w:val="28"/>
          <w:szCs w:val="28"/>
          <w:lang w:val="en-US" w:eastAsia="zh-CN"/>
        </w:rPr>
        <w:t>21</w:t>
      </w:r>
      <w:r>
        <w:rPr>
          <w:rFonts w:hint="default" w:ascii="Times New Roman" w:hAnsi="Times New Roman" w:eastAsia="仿宋" w:cs="Times New Roman"/>
          <w:color w:val="auto"/>
          <w:sz w:val="28"/>
          <w:szCs w:val="28"/>
        </w:rPr>
        <w:t>）；</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（7）《突发环境事件调查处理办法》，2015年3月1日实施；</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（8）《事故状态下水体污染的预防与控制技术要求》（中国石油企业标准Q/SY1190-2013）；</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t>
      </w:r>
      <w:r>
        <w:rPr>
          <w:rFonts w:hint="eastAsia" w:ascii="Times New Roman" w:hAnsi="Times New Roman" w:eastAsia="仿宋" w:cs="Times New Roman"/>
          <w:color w:val="auto"/>
          <w:sz w:val="28"/>
          <w:szCs w:val="28"/>
          <w:lang w:val="en-US" w:eastAsia="zh-CN"/>
        </w:rPr>
        <w:t>9</w:t>
      </w:r>
      <w:r>
        <w:rPr>
          <w:rFonts w:hint="default" w:ascii="Times New Roman" w:hAnsi="Times New Roman" w:eastAsia="仿宋" w:cs="Times New Roman"/>
          <w:color w:val="auto"/>
          <w:sz w:val="28"/>
          <w:szCs w:val="28"/>
        </w:rPr>
        <w:t>）《国务院关于加强环境保护重点工作的意见》（国发〔2011〕35号）；</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w:t>
      </w:r>
      <w:r>
        <w:rPr>
          <w:rFonts w:hint="eastAsia" w:ascii="Times New Roman" w:hAnsi="Times New Roman" w:eastAsia="仿宋" w:cs="Times New Roman"/>
          <w:color w:val="auto"/>
          <w:sz w:val="28"/>
          <w:szCs w:val="28"/>
          <w:lang w:val="en-US" w:eastAsia="zh-CN"/>
        </w:rPr>
        <w:t>0</w:t>
      </w:r>
      <w:r>
        <w:rPr>
          <w:rFonts w:hint="default" w:ascii="Times New Roman" w:hAnsi="Times New Roman" w:eastAsia="仿宋" w:cs="Times New Roman"/>
          <w:color w:val="auto"/>
          <w:sz w:val="28"/>
          <w:szCs w:val="28"/>
        </w:rPr>
        <w:t>）《危险废物污染防治技术政策》（环发〔2001〕199号），2001年12月17日；</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w:t>
      </w:r>
      <w:r>
        <w:rPr>
          <w:rFonts w:hint="eastAsia" w:ascii="Times New Roman" w:hAnsi="Times New Roman" w:eastAsia="仿宋" w:cs="Times New Roman"/>
          <w:color w:val="auto"/>
          <w:sz w:val="28"/>
          <w:szCs w:val="28"/>
          <w:lang w:val="en-US" w:eastAsia="zh-CN"/>
        </w:rPr>
        <w:t>1</w:t>
      </w:r>
      <w:r>
        <w:rPr>
          <w:rFonts w:hint="default" w:ascii="Times New Roman" w:hAnsi="Times New Roman" w:eastAsia="仿宋" w:cs="Times New Roman"/>
          <w:color w:val="auto"/>
          <w:sz w:val="28"/>
          <w:szCs w:val="28"/>
        </w:rPr>
        <w:t>）《化学品分类、警示标签和警示性说明安全规程》（GB20576-GB20602）；</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w:t>
      </w:r>
      <w:r>
        <w:rPr>
          <w:rFonts w:hint="eastAsia" w:ascii="Times New Roman" w:hAnsi="Times New Roman" w:eastAsia="仿宋" w:cs="Times New Roman"/>
          <w:color w:val="auto"/>
          <w:sz w:val="28"/>
          <w:szCs w:val="28"/>
          <w:lang w:val="en-US" w:eastAsia="zh-CN"/>
        </w:rPr>
        <w:t>2</w:t>
      </w:r>
      <w:r>
        <w:rPr>
          <w:rFonts w:hint="default" w:ascii="Times New Roman" w:hAnsi="Times New Roman" w:eastAsia="仿宋" w:cs="Times New Roman"/>
          <w:color w:val="auto"/>
          <w:sz w:val="28"/>
          <w:szCs w:val="28"/>
        </w:rPr>
        <w:t>）《重点监管的危险化学品安全措施和应急处置原则》（国家安全生产监督管理总局）；</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w:t>
      </w:r>
      <w:r>
        <w:rPr>
          <w:rFonts w:hint="eastAsia" w:ascii="Times New Roman" w:hAnsi="Times New Roman" w:eastAsia="仿宋" w:cs="Times New Roman"/>
          <w:color w:val="auto"/>
          <w:sz w:val="28"/>
          <w:szCs w:val="28"/>
          <w:lang w:val="en-US" w:eastAsia="zh-CN"/>
        </w:rPr>
        <w:t>3</w:t>
      </w:r>
      <w:r>
        <w:rPr>
          <w:rFonts w:hint="default" w:ascii="Times New Roman" w:hAnsi="Times New Roman" w:eastAsia="仿宋" w:cs="Times New Roman"/>
          <w:color w:val="auto"/>
          <w:sz w:val="28"/>
          <w:szCs w:val="28"/>
        </w:rPr>
        <w:t>）《危险化学品建设项目安全监督管理办法》（安全监管总局令第45号），2015.6.29修订；</w:t>
      </w:r>
    </w:p>
    <w:p>
      <w:pPr>
        <w:pageBreakBefore w:val="0"/>
        <w:widowControl w:val="0"/>
        <w:kinsoku/>
        <w:wordWrap/>
        <w:overflowPunct/>
        <w:topLinePunct w:val="0"/>
        <w:autoSpaceDE/>
        <w:autoSpaceDN/>
        <w:bidi w:val="0"/>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w:t>
      </w:r>
      <w:r>
        <w:rPr>
          <w:rFonts w:hint="eastAsia" w:ascii="Times New Roman" w:hAnsi="Times New Roman" w:eastAsia="仿宋" w:cs="Times New Roman"/>
          <w:color w:val="auto"/>
          <w:sz w:val="28"/>
          <w:szCs w:val="28"/>
          <w:lang w:val="en-US" w:eastAsia="zh-CN"/>
        </w:rPr>
        <w:t>4</w:t>
      </w:r>
      <w:r>
        <w:rPr>
          <w:rFonts w:hint="default" w:ascii="Times New Roman" w:hAnsi="Times New Roman" w:eastAsia="仿宋" w:cs="Times New Roman"/>
          <w:color w:val="auto"/>
          <w:sz w:val="28"/>
          <w:szCs w:val="28"/>
        </w:rPr>
        <w:t>）《关于进一步加强环境影响评价管理防范环境风险的通知》（环发〔2012〕77号）；</w:t>
      </w:r>
    </w:p>
    <w:p>
      <w:pPr>
        <w:pStyle w:val="4"/>
        <w:spacing w:line="360" w:lineRule="auto"/>
        <w:rPr>
          <w:rFonts w:hint="default" w:ascii="Times New Roman" w:hAnsi="Times New Roman" w:eastAsia="仿宋" w:cs="Times New Roman"/>
          <w:b/>
          <w:bCs/>
          <w:color w:val="auto"/>
          <w:sz w:val="28"/>
          <w:szCs w:val="28"/>
          <w:highlight w:val="none"/>
        </w:rPr>
      </w:pPr>
      <w:bookmarkStart w:id="104" w:name="_Toc28444"/>
      <w:bookmarkStart w:id="105" w:name="_Toc7898"/>
      <w:bookmarkStart w:id="106" w:name="_Toc19586"/>
      <w:bookmarkStart w:id="107" w:name="_Toc489976500"/>
      <w:bookmarkStart w:id="108" w:name="_Toc23249"/>
      <w:bookmarkStart w:id="109" w:name="_Toc22149"/>
      <w:bookmarkStart w:id="110" w:name="_Toc6792"/>
      <w:r>
        <w:rPr>
          <w:rFonts w:hint="default" w:ascii="Times New Roman" w:hAnsi="Times New Roman" w:eastAsia="仿宋" w:cs="Times New Roman"/>
          <w:b/>
          <w:bCs/>
          <w:color w:val="auto"/>
          <w:sz w:val="28"/>
          <w:szCs w:val="28"/>
          <w:highlight w:val="none"/>
        </w:rPr>
        <w:t>2.</w:t>
      </w:r>
      <w:r>
        <w:rPr>
          <w:rFonts w:hint="eastAsia" w:ascii="Times New Roman" w:hAnsi="Times New Roman" w:eastAsia="仿宋" w:cs="Times New Roman"/>
          <w:b/>
          <w:bCs/>
          <w:color w:val="auto"/>
          <w:sz w:val="28"/>
          <w:szCs w:val="28"/>
          <w:highlight w:val="none"/>
          <w:lang w:val="en-US" w:eastAsia="zh-CN"/>
        </w:rPr>
        <w:t>4</w:t>
      </w:r>
      <w:r>
        <w:rPr>
          <w:rFonts w:hint="default" w:ascii="Times New Roman" w:hAnsi="Times New Roman" w:eastAsia="仿宋" w:cs="Times New Roman"/>
          <w:b/>
          <w:bCs/>
          <w:color w:val="auto"/>
          <w:sz w:val="28"/>
          <w:szCs w:val="28"/>
          <w:highlight w:val="none"/>
        </w:rPr>
        <w:t>.3 企业突发环境事件风险评估程序</w:t>
      </w:r>
      <w:bookmarkEnd w:id="104"/>
      <w:bookmarkEnd w:id="105"/>
      <w:bookmarkEnd w:id="106"/>
      <w:bookmarkEnd w:id="107"/>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按照企业资料准备与环境风险识别、可能发生突发环境事件及其后果分析、现有环境风险防控和环境应急管理差距分析、制定完善环境风险防控和应急措施的实施计划、划定突发环境事件风险等级五个步骤实施。</w:t>
      </w:r>
    </w:p>
    <w:p>
      <w:pPr>
        <w:pStyle w:val="4"/>
        <w:spacing w:line="360" w:lineRule="auto"/>
        <w:rPr>
          <w:rFonts w:hint="default" w:ascii="Times New Roman" w:hAnsi="Times New Roman" w:eastAsia="仿宋" w:cs="Times New Roman"/>
          <w:b/>
          <w:bCs/>
          <w:color w:val="auto"/>
          <w:sz w:val="28"/>
          <w:szCs w:val="28"/>
          <w:highlight w:val="none"/>
        </w:rPr>
      </w:pPr>
      <w:bookmarkStart w:id="111" w:name="_Toc6109"/>
      <w:r>
        <w:rPr>
          <w:rFonts w:hint="default" w:ascii="Times New Roman" w:hAnsi="Times New Roman" w:eastAsia="仿宋" w:cs="Times New Roman"/>
          <w:b/>
          <w:bCs/>
          <w:color w:val="auto"/>
          <w:sz w:val="28"/>
          <w:szCs w:val="28"/>
          <w:highlight w:val="none"/>
        </w:rPr>
        <w:t>2.</w:t>
      </w:r>
      <w:r>
        <w:rPr>
          <w:rFonts w:hint="eastAsia" w:ascii="Times New Roman" w:hAnsi="Times New Roman" w:eastAsia="仿宋" w:cs="Times New Roman"/>
          <w:b/>
          <w:bCs/>
          <w:color w:val="auto"/>
          <w:sz w:val="28"/>
          <w:szCs w:val="28"/>
          <w:highlight w:val="none"/>
          <w:lang w:val="en-US" w:eastAsia="zh-CN"/>
        </w:rPr>
        <w:t>4</w:t>
      </w:r>
      <w:r>
        <w:rPr>
          <w:rFonts w:hint="default" w:ascii="Times New Roman" w:hAnsi="Times New Roman" w:eastAsia="仿宋" w:cs="Times New Roman"/>
          <w:b/>
          <w:bCs/>
          <w:color w:val="auto"/>
          <w:sz w:val="28"/>
          <w:szCs w:val="28"/>
          <w:highlight w:val="none"/>
        </w:rPr>
        <w:t>.4 企业突发环境事件风险评估内容</w:t>
      </w:r>
      <w:bookmarkEnd w:id="111"/>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1、环境风险源与环境风险评价</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阐述公司的环境风险源识别、环境风险等级评估及环境风险评价内容中可能影响的环境敏感点范围、环境保护目标分布等内容。</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2、潜在环境风险分析</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说明该公司可能发生的泄漏、</w:t>
      </w:r>
      <w:r>
        <w:rPr>
          <w:rFonts w:hint="default" w:ascii="Times New Roman" w:hAnsi="Times New Roman" w:eastAsia="仿宋" w:cs="Times New Roman"/>
          <w:color w:val="auto"/>
          <w:sz w:val="28"/>
          <w:szCs w:val="28"/>
          <w:highlight w:val="none"/>
          <w:lang w:eastAsia="zh-CN"/>
        </w:rPr>
        <w:t>火灾爆炸</w:t>
      </w:r>
      <w:r>
        <w:rPr>
          <w:rFonts w:hint="default" w:ascii="Times New Roman" w:hAnsi="Times New Roman" w:eastAsia="仿宋" w:cs="Times New Roman"/>
          <w:color w:val="auto"/>
          <w:sz w:val="28"/>
          <w:szCs w:val="28"/>
          <w:highlight w:val="none"/>
        </w:rPr>
        <w:t>等潜在环境风险类型和程度，结合同类已发生的事故类型、程度进行说明。</w:t>
      </w:r>
    </w:p>
    <w:bookmarkEnd w:id="108"/>
    <w:bookmarkEnd w:id="109"/>
    <w:bookmarkEnd w:id="110"/>
    <w:p>
      <w:pPr>
        <w:spacing w:line="360" w:lineRule="auto"/>
        <w:ind w:firstLine="560" w:firstLineChars="200"/>
        <w:rPr>
          <w:rFonts w:hint="default" w:ascii="Times New Roman" w:hAnsi="Times New Roman" w:eastAsia="仿宋" w:cs="Times New Roman"/>
          <w:color w:val="auto"/>
          <w:sz w:val="28"/>
          <w:szCs w:val="28"/>
          <w:highlight w:val="none"/>
        </w:rPr>
      </w:pPr>
      <w:bookmarkStart w:id="112" w:name="_Toc9447"/>
      <w:r>
        <w:rPr>
          <w:rFonts w:hint="default" w:ascii="Times New Roman" w:hAnsi="Times New Roman" w:eastAsia="仿宋" w:cs="Times New Roman"/>
          <w:color w:val="auto"/>
          <w:sz w:val="28"/>
          <w:szCs w:val="28"/>
          <w:highlight w:val="none"/>
        </w:rPr>
        <w:t>根据《企业突发环境事件风险分级方法》（HJ941-2018），本企业突发大气环境事件风险等级为：</w:t>
      </w:r>
      <w:r>
        <w:rPr>
          <w:rFonts w:ascii="Times New Roman" w:hAnsi="Times New Roman" w:eastAsia="仿宋"/>
          <w:color w:val="auto"/>
          <w:sz w:val="28"/>
          <w:szCs w:val="28"/>
          <w:highlight w:val="none"/>
        </w:rPr>
        <w:t>一般-大气（Q</w:t>
      </w:r>
      <w:r>
        <w:rPr>
          <w:rFonts w:ascii="Times New Roman" w:hAnsi="Times New Roman" w:eastAsia="仿宋"/>
          <w:color w:val="auto"/>
          <w:sz w:val="28"/>
          <w:szCs w:val="28"/>
          <w:highlight w:val="none"/>
          <w:vertAlign w:val="subscript"/>
        </w:rPr>
        <w:t>0</w:t>
      </w:r>
      <w:r>
        <w:rPr>
          <w:rFonts w:ascii="Times New Roman" w:hAnsi="Times New Roman" w:eastAsia="仿宋"/>
          <w:color w:val="auto"/>
          <w:sz w:val="28"/>
          <w:szCs w:val="28"/>
          <w:highlight w:val="none"/>
        </w:rPr>
        <w:t>）</w:t>
      </w:r>
      <w:r>
        <w:rPr>
          <w:rFonts w:hint="default" w:ascii="Times New Roman" w:hAnsi="Times New Roman" w:eastAsia="仿宋" w:cs="Times New Roman"/>
          <w:color w:val="auto"/>
          <w:sz w:val="28"/>
          <w:szCs w:val="28"/>
          <w:highlight w:val="none"/>
        </w:rPr>
        <w:t>；水环境事件风险等级为：一般-水（Q0）。故企业突发环境事件风险等级为一般</w:t>
      </w:r>
      <w:r>
        <w:rPr>
          <w:rFonts w:hint="default" w:ascii="Times New Roman" w:hAnsi="Times New Roman" w:eastAsia="仿宋" w:cs="Times New Roman"/>
          <w:color w:val="auto"/>
          <w:sz w:val="28"/>
          <w:szCs w:val="28"/>
          <w:highlight w:val="none"/>
          <w:lang w:val="en-US" w:eastAsia="zh-CN"/>
        </w:rPr>
        <w:t>环境风险</w:t>
      </w:r>
      <w:r>
        <w:rPr>
          <w:rFonts w:hint="default" w:ascii="Times New Roman" w:hAnsi="Times New Roman" w:eastAsia="仿宋" w:cs="Times New Roman"/>
          <w:color w:val="auto"/>
          <w:sz w:val="28"/>
          <w:szCs w:val="28"/>
          <w:highlight w:val="none"/>
        </w:rPr>
        <w:t>。</w:t>
      </w:r>
    </w:p>
    <w:p>
      <w:pPr>
        <w:keepNext/>
        <w:keepLines/>
        <w:pageBreakBefore w:val="0"/>
        <w:widowControl w:val="0"/>
        <w:kinsoku/>
        <w:wordWrap/>
        <w:overflowPunct/>
        <w:topLinePunct w:val="0"/>
        <w:autoSpaceDE/>
        <w:autoSpaceDN/>
        <w:bidi w:val="0"/>
        <w:adjustRightInd w:val="0"/>
        <w:snapToGrid w:val="0"/>
        <w:spacing w:line="360" w:lineRule="auto"/>
        <w:ind w:firstLine="602" w:firstLineChars="200"/>
        <w:jc w:val="center"/>
        <w:textAlignment w:val="baseline"/>
        <w:outlineLvl w:val="0"/>
        <w:rPr>
          <w:rStyle w:val="22"/>
          <w:rFonts w:hint="default" w:ascii="Times New Roman" w:hAnsi="Times New Roman" w:eastAsia="仿宋" w:cs="Times New Roman"/>
          <w:color w:val="auto"/>
          <w:sz w:val="30"/>
          <w:szCs w:val="30"/>
        </w:rPr>
      </w:pPr>
      <w:bookmarkStart w:id="113" w:name="_Toc9276"/>
      <w:r>
        <w:rPr>
          <w:rStyle w:val="22"/>
          <w:rFonts w:hint="default" w:ascii="Times New Roman" w:hAnsi="Times New Roman" w:eastAsia="仿宋" w:cs="Times New Roman"/>
          <w:color w:val="auto"/>
          <w:sz w:val="30"/>
          <w:szCs w:val="30"/>
        </w:rPr>
        <w:t>3资料准备与环境风险识别</w:t>
      </w:r>
      <w:bookmarkEnd w:id="92"/>
      <w:bookmarkEnd w:id="93"/>
      <w:bookmarkEnd w:id="94"/>
      <w:bookmarkEnd w:id="95"/>
      <w:bookmarkEnd w:id="96"/>
      <w:bookmarkEnd w:id="97"/>
      <w:bookmarkEnd w:id="98"/>
      <w:bookmarkEnd w:id="99"/>
      <w:bookmarkEnd w:id="100"/>
      <w:bookmarkEnd w:id="101"/>
      <w:bookmarkEnd w:id="102"/>
      <w:bookmarkEnd w:id="103"/>
      <w:bookmarkEnd w:id="112"/>
      <w:bookmarkEnd w:id="113"/>
    </w:p>
    <w:p>
      <w:pPr>
        <w:pStyle w:val="2"/>
        <w:pageBreakBefore w:val="0"/>
        <w:kinsoku/>
        <w:wordWrap/>
        <w:overflowPunct/>
        <w:topLinePunct w:val="0"/>
        <w:bidi w:val="0"/>
        <w:adjustRightInd w:val="0"/>
        <w:snapToGrid w:val="0"/>
        <w:spacing w:before="0" w:beforeAutospacing="0" w:after="0" w:afterAutospacing="0" w:line="360" w:lineRule="auto"/>
        <w:ind w:left="0" w:firstLine="562" w:firstLineChars="200"/>
        <w:textAlignment w:val="auto"/>
        <w:outlineLvl w:val="0"/>
        <w:rPr>
          <w:rFonts w:hint="default" w:ascii="Times New Roman" w:hAnsi="Times New Roman" w:eastAsia="仿宋" w:cs="Times New Roman"/>
          <w:color w:val="auto"/>
          <w:sz w:val="28"/>
          <w:szCs w:val="28"/>
        </w:rPr>
      </w:pPr>
      <w:bookmarkStart w:id="114" w:name="_Toc22367_WPSOffice_Level1"/>
      <w:bookmarkStart w:id="115" w:name="_Toc15418"/>
      <w:bookmarkStart w:id="116" w:name="_Toc29563_WPSOffice_Level1"/>
      <w:bookmarkStart w:id="117" w:name="_Toc14225"/>
      <w:bookmarkStart w:id="118" w:name="_Toc524645536"/>
      <w:bookmarkStart w:id="119" w:name="_Toc6077_WPSOffice_Level1"/>
      <w:bookmarkStart w:id="120" w:name="_Toc17687"/>
      <w:bookmarkStart w:id="121" w:name="_Toc12752"/>
      <w:bookmarkStart w:id="122" w:name="_Toc17732462"/>
      <w:bookmarkStart w:id="123" w:name="_Toc20398"/>
      <w:bookmarkStart w:id="124" w:name="_Toc15037"/>
      <w:bookmarkStart w:id="125" w:name="_Toc17886_WPSOffice_Level1"/>
      <w:bookmarkStart w:id="126" w:name="_Toc21633"/>
      <w:bookmarkStart w:id="127" w:name="_Toc6882"/>
      <w:r>
        <w:rPr>
          <w:rFonts w:hint="default" w:ascii="Times New Roman" w:hAnsi="Times New Roman" w:eastAsia="仿宋" w:cs="Times New Roman"/>
          <w:color w:val="auto"/>
          <w:sz w:val="28"/>
          <w:szCs w:val="28"/>
        </w:rPr>
        <w:t>3.1基本信息</w:t>
      </w:r>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p>
    <w:p>
      <w:pPr>
        <w:pageBreakBefore w:val="0"/>
        <w:kinsoku/>
        <w:wordWrap/>
        <w:overflowPunct/>
        <w:topLinePunct w:val="0"/>
        <w:autoSpaceDE w:val="0"/>
        <w:autoSpaceDN w:val="0"/>
        <w:bidi w:val="0"/>
        <w:adjustRightInd w:val="0"/>
        <w:snapToGrid w:val="0"/>
        <w:spacing w:beforeAutospacing="0" w:afterAutospacing="0" w:line="360" w:lineRule="auto"/>
        <w:ind w:left="0" w:firstLine="482" w:firstLineChars="200"/>
        <w:jc w:val="center"/>
        <w:textAlignment w:val="auto"/>
        <w:rPr>
          <w:rFonts w:hint="eastAsia" w:ascii="Times New Roman" w:hAnsi="Times New Roman" w:eastAsia="仿宋" w:cs="Times New Roman"/>
          <w:color w:val="auto"/>
          <w:sz w:val="28"/>
          <w:szCs w:val="28"/>
          <w:lang w:eastAsia="zh-CN"/>
        </w:rPr>
      </w:pPr>
      <w:r>
        <w:rPr>
          <w:rFonts w:hint="default" w:ascii="Times New Roman" w:hAnsi="Times New Roman" w:eastAsia="仿宋" w:cs="Times New Roman"/>
          <w:b/>
          <w:color w:val="auto"/>
          <w:sz w:val="24"/>
          <w:szCs w:val="24"/>
        </w:rPr>
        <w:t>表3.</w:t>
      </w:r>
      <w:r>
        <w:rPr>
          <w:rFonts w:hint="eastAsia" w:ascii="Times New Roman" w:hAnsi="Times New Roman" w:eastAsia="仿宋" w:cs="Times New Roman"/>
          <w:b/>
          <w:color w:val="auto"/>
          <w:sz w:val="24"/>
          <w:szCs w:val="24"/>
          <w:lang w:val="en-US" w:eastAsia="zh-CN"/>
        </w:rPr>
        <w:t>1</w:t>
      </w:r>
      <w:r>
        <w:rPr>
          <w:rFonts w:hint="default" w:ascii="Times New Roman" w:hAnsi="Times New Roman" w:eastAsia="仿宋" w:cs="Times New Roman"/>
          <w:b/>
          <w:color w:val="auto"/>
          <w:sz w:val="24"/>
          <w:szCs w:val="24"/>
        </w:rPr>
        <w:t xml:space="preserve">-1  </w:t>
      </w:r>
      <w:r>
        <w:rPr>
          <w:rFonts w:hint="eastAsia" w:ascii="Times New Roman" w:hAnsi="Times New Roman" w:eastAsia="仿宋" w:cs="Times New Roman"/>
          <w:b/>
          <w:color w:val="auto"/>
          <w:sz w:val="24"/>
          <w:szCs w:val="24"/>
          <w:lang w:eastAsia="zh-CN"/>
        </w:rPr>
        <w:t>企业基本信息一览表</w:t>
      </w:r>
    </w:p>
    <w:tbl>
      <w:tblPr>
        <w:tblStyle w:val="17"/>
        <w:tblW w:w="5092"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059"/>
        <w:gridCol w:w="2236"/>
        <w:gridCol w:w="115"/>
        <w:gridCol w:w="2045"/>
        <w:gridCol w:w="222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企业名称</w:t>
            </w:r>
          </w:p>
        </w:tc>
        <w:tc>
          <w:tcPr>
            <w:tcW w:w="3813" w:type="pct"/>
            <w:gridSpan w:val="4"/>
            <w:tcBorders>
              <w:tl2br w:val="nil"/>
              <w:tr2bl w:val="nil"/>
            </w:tcBorders>
            <w:noWrap w:val="0"/>
            <w:vAlign w:val="center"/>
          </w:tcPr>
          <w:p>
            <w:pPr>
              <w:overflowPunct w:val="0"/>
              <w:autoSpaceDE w:val="0"/>
              <w:autoSpaceDN w:val="0"/>
              <w:adjustRightInd w:val="0"/>
              <w:snapToGrid w:val="0"/>
              <w:spacing w:line="370" w:lineRule="exact"/>
              <w:jc w:val="center"/>
              <w:rPr>
                <w:rFonts w:hint="eastAsia" w:ascii="Times New Roman" w:hAnsi="Times New Roman" w:eastAsia="宋体" w:cs="Times New Roman"/>
                <w:color w:val="auto"/>
                <w:sz w:val="24"/>
                <w:lang w:eastAsia="zh-CN"/>
              </w:rPr>
            </w:pPr>
            <w:r>
              <w:rPr>
                <w:rFonts w:hint="eastAsia" w:ascii="仿宋" w:hAnsi="仿宋" w:eastAsia="仿宋" w:cs="仿宋"/>
                <w:color w:val="auto"/>
                <w:sz w:val="24"/>
                <w:lang w:eastAsia="zh-CN"/>
              </w:rPr>
              <w:t>九冶钢结构有限公司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统一社会信用代码</w:t>
            </w:r>
          </w:p>
        </w:tc>
        <w:tc>
          <w:tcPr>
            <w:tcW w:w="3813" w:type="pct"/>
            <w:gridSpan w:val="4"/>
            <w:tcBorders>
              <w:tl2br w:val="nil"/>
              <w:tr2bl w:val="nil"/>
            </w:tcBorders>
            <w:noWrap w:val="0"/>
            <w:vAlign w:val="center"/>
          </w:tcPr>
          <w:p>
            <w:pPr>
              <w:overflowPunct w:val="0"/>
              <w:autoSpaceDE w:val="0"/>
              <w:autoSpaceDN w:val="0"/>
              <w:adjustRightInd w:val="0"/>
              <w:snapToGrid w:val="0"/>
              <w:spacing w:line="370" w:lineRule="exact"/>
              <w:jc w:val="center"/>
              <w:rPr>
                <w:rFonts w:hint="eastAsia" w:ascii="Times New Roman" w:hAnsi="Times New Roman" w:eastAsia="宋体" w:cs="Times New Roman"/>
                <w:color w:val="auto"/>
                <w:sz w:val="24"/>
                <w:lang w:eastAsia="zh-CN"/>
              </w:rPr>
            </w:pPr>
            <w:r>
              <w:rPr>
                <w:rFonts w:hint="eastAsia" w:ascii="Times New Roman" w:hAnsi="Times New Roman" w:eastAsia="宋体" w:cs="Times New Roman"/>
                <w:color w:val="auto"/>
                <w:sz w:val="24"/>
                <w:lang w:eastAsia="zh-CN"/>
              </w:rPr>
              <w:t>91611100758810584A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经营范围</w:t>
            </w:r>
          </w:p>
        </w:tc>
        <w:tc>
          <w:tcPr>
            <w:tcW w:w="3813" w:type="pct"/>
            <w:gridSpan w:val="4"/>
            <w:tcBorders>
              <w:tl2br w:val="nil"/>
              <w:tr2bl w:val="nil"/>
            </w:tcBorders>
            <w:noWrap w:val="0"/>
            <w:vAlign w:val="center"/>
          </w:tcPr>
          <w:p>
            <w:pPr>
              <w:overflowPunct w:val="0"/>
              <w:autoSpaceDE w:val="0"/>
              <w:autoSpaceDN w:val="0"/>
              <w:adjustRightInd w:val="0"/>
              <w:snapToGrid w:val="0"/>
              <w:spacing w:line="370" w:lineRule="exact"/>
              <w:jc w:val="center"/>
              <w:rPr>
                <w:rFonts w:hint="default" w:ascii="Times New Roman" w:hAnsi="Times New Roman" w:eastAsia="宋体" w:cs="Times New Roman"/>
                <w:color w:val="auto"/>
                <w:sz w:val="24"/>
                <w:lang w:val="en-US" w:eastAsia="zh-CN"/>
              </w:rPr>
            </w:pPr>
            <w:r>
              <w:rPr>
                <w:rFonts w:hint="eastAsia" w:ascii="仿宋" w:hAnsi="仿宋" w:eastAsia="仿宋" w:cs="仿宋"/>
                <w:color w:val="auto"/>
                <w:sz w:val="24"/>
                <w:lang w:val="en-US" w:eastAsia="zh-CN"/>
              </w:rPr>
              <w:t>建筑装饰、水暖管道零件及其他建筑用金属制品制造等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法人代表</w:t>
            </w:r>
          </w:p>
        </w:tc>
        <w:tc>
          <w:tcPr>
            <w:tcW w:w="1288" w:type="pct"/>
            <w:tcBorders>
              <w:tl2br w:val="nil"/>
              <w:tr2bl w:val="nil"/>
            </w:tcBorders>
            <w:noWrap w:val="0"/>
            <w:vAlign w:val="center"/>
          </w:tcPr>
          <w:p>
            <w:pPr>
              <w:overflowPunct w:val="0"/>
              <w:autoSpaceDE w:val="0"/>
              <w:autoSpaceDN w:val="0"/>
              <w:adjustRightInd w:val="0"/>
              <w:snapToGrid w:val="0"/>
              <w:spacing w:line="370" w:lineRule="exact"/>
              <w:jc w:val="center"/>
              <w:rPr>
                <w:rFonts w:hint="default" w:ascii="Times New Roman" w:hAnsi="Times New Roman" w:eastAsia="宋体" w:cs="Times New Roman"/>
                <w:color w:val="auto"/>
                <w:sz w:val="24"/>
                <w:lang w:val="en-US" w:eastAsia="zh-CN"/>
              </w:rPr>
            </w:pPr>
            <w:r>
              <w:rPr>
                <w:rFonts w:hint="eastAsia" w:ascii="仿宋" w:hAnsi="仿宋" w:eastAsia="仿宋" w:cs="仿宋"/>
                <w:color w:val="auto"/>
                <w:sz w:val="24"/>
                <w:lang w:val="en-US" w:eastAsia="zh-CN"/>
              </w:rPr>
              <w:t>余文平</w:t>
            </w:r>
          </w:p>
        </w:tc>
        <w:tc>
          <w:tcPr>
            <w:tcW w:w="1244" w:type="pct"/>
            <w:gridSpan w:val="2"/>
            <w:tcBorders>
              <w:tl2br w:val="nil"/>
              <w:tr2bl w:val="nil"/>
            </w:tcBorders>
            <w:noWrap w:val="0"/>
            <w:vAlign w:val="center"/>
          </w:tcPr>
          <w:p>
            <w:pPr>
              <w:overflowPunct w:val="0"/>
              <w:autoSpaceDE w:val="0"/>
              <w:autoSpaceDN w:val="0"/>
              <w:adjustRightInd w:val="0"/>
              <w:snapToGrid w:val="0"/>
              <w:spacing w:line="370" w:lineRule="exact"/>
              <w:jc w:val="center"/>
              <w:rPr>
                <w:rFonts w:hint="default" w:ascii="Times New Roman" w:hAnsi="Times New Roman" w:cs="Times New Roman"/>
                <w:color w:val="auto"/>
                <w:sz w:val="24"/>
              </w:rPr>
            </w:pPr>
            <w:r>
              <w:rPr>
                <w:rFonts w:hint="default" w:ascii="Times New Roman" w:hAnsi="Times New Roman" w:cs="Times New Roman"/>
                <w:b/>
                <w:bCs/>
                <w:color w:val="auto"/>
                <w:sz w:val="24"/>
              </w:rPr>
              <w:t>建厂年月</w:t>
            </w:r>
          </w:p>
        </w:tc>
        <w:tc>
          <w:tcPr>
            <w:tcW w:w="1281" w:type="pct"/>
            <w:tcBorders>
              <w:tl2br w:val="nil"/>
              <w:tr2bl w:val="nil"/>
            </w:tcBorders>
            <w:noWrap w:val="0"/>
            <w:vAlign w:val="center"/>
          </w:tcPr>
          <w:p>
            <w:pPr>
              <w:overflowPunct w:val="0"/>
              <w:autoSpaceDE w:val="0"/>
              <w:autoSpaceDN w:val="0"/>
              <w:adjustRightInd w:val="0"/>
              <w:snapToGrid w:val="0"/>
              <w:spacing w:line="370" w:lineRule="exact"/>
              <w:jc w:val="center"/>
              <w:rPr>
                <w:rFonts w:hint="default" w:ascii="Times New Roman" w:hAnsi="Times New Roman" w:cs="Times New Roman"/>
                <w:color w:val="auto"/>
                <w:sz w:val="24"/>
              </w:rPr>
            </w:pPr>
            <w:r>
              <w:rPr>
                <w:rFonts w:hint="default" w:ascii="Times New Roman" w:hAnsi="Times New Roman" w:cs="Times New Roman"/>
                <w:color w:val="auto"/>
                <w:sz w:val="24"/>
              </w:rPr>
              <w:t>20</w:t>
            </w:r>
            <w:r>
              <w:rPr>
                <w:rFonts w:hint="eastAsia" w:ascii="Times New Roman" w:hAnsi="Times New Roman" w:cs="Times New Roman"/>
                <w:color w:val="auto"/>
                <w:sz w:val="24"/>
                <w:lang w:val="en-US" w:eastAsia="zh-CN"/>
              </w:rPr>
              <w:t>02</w:t>
            </w:r>
            <w:r>
              <w:rPr>
                <w:rFonts w:hint="default" w:ascii="Times New Roman" w:hAnsi="Times New Roman" w:cs="Times New Roman"/>
                <w:color w:val="auto"/>
                <w:sz w:val="24"/>
              </w:rPr>
              <w:t>年</w:t>
            </w:r>
            <w:r>
              <w:rPr>
                <w:rFonts w:hint="eastAsia" w:ascii="Times New Roman" w:hAnsi="Times New Roman" w:cs="Times New Roman"/>
                <w:color w:val="auto"/>
                <w:sz w:val="24"/>
                <w:lang w:val="en-US" w:eastAsia="zh-CN"/>
              </w:rPr>
              <w:t>8</w:t>
            </w:r>
            <w:r>
              <w:rPr>
                <w:rFonts w:hint="default" w:ascii="Times New Roman" w:hAnsi="Times New Roman" w:cs="Times New Roman"/>
                <w:color w:val="auto"/>
                <w:sz w:val="24"/>
              </w:rPr>
              <w:t>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厂区所在地</w:t>
            </w:r>
          </w:p>
        </w:tc>
        <w:tc>
          <w:tcPr>
            <w:tcW w:w="3813" w:type="pct"/>
            <w:gridSpan w:val="4"/>
            <w:tcBorders>
              <w:tl2br w:val="nil"/>
              <w:tr2bl w:val="nil"/>
            </w:tcBorders>
            <w:noWrap w:val="0"/>
            <w:vAlign w:val="center"/>
          </w:tcPr>
          <w:p>
            <w:pPr>
              <w:overflowPunct w:val="0"/>
              <w:autoSpaceDE w:val="0"/>
              <w:autoSpaceDN w:val="0"/>
              <w:adjustRightInd w:val="0"/>
              <w:snapToGrid w:val="0"/>
              <w:spacing w:line="370" w:lineRule="exact"/>
              <w:ind w:left="0" w:leftChars="0" w:firstLine="0" w:firstLineChars="0"/>
              <w:jc w:val="center"/>
              <w:rPr>
                <w:rFonts w:hint="eastAsia" w:ascii="Times New Roman" w:hAnsi="Times New Roman" w:eastAsia="宋体" w:cs="Times New Roman"/>
                <w:color w:val="auto"/>
                <w:sz w:val="24"/>
                <w:lang w:eastAsia="zh-CN"/>
              </w:rPr>
            </w:pPr>
            <w:r>
              <w:rPr>
                <w:rFonts w:hint="eastAsia" w:ascii="Times New Roman" w:hAnsi="Times New Roman" w:eastAsia="仿宋" w:cs="Times New Roman"/>
                <w:color w:val="auto"/>
                <w:sz w:val="24"/>
                <w:lang w:eastAsia="zh-CN"/>
              </w:rPr>
              <w:t>陕西省西咸新区秦汉新城咸红路69号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厂区中心经度</w:t>
            </w:r>
          </w:p>
        </w:tc>
        <w:tc>
          <w:tcPr>
            <w:tcW w:w="1354" w:type="pct"/>
            <w:gridSpan w:val="2"/>
            <w:tcBorders>
              <w:tl2br w:val="nil"/>
              <w:tr2bl w:val="nil"/>
            </w:tcBorders>
            <w:noWrap w:val="0"/>
            <w:vAlign w:val="center"/>
          </w:tcPr>
          <w:p>
            <w:pPr>
              <w:overflowPunct w:val="0"/>
              <w:autoSpaceDE w:val="0"/>
              <w:autoSpaceDN w:val="0"/>
              <w:adjustRightInd w:val="0"/>
              <w:snapToGrid w:val="0"/>
              <w:spacing w:line="370" w:lineRule="exact"/>
              <w:jc w:val="center"/>
              <w:rPr>
                <w:rFonts w:hint="default" w:ascii="Times New Roman" w:hAnsi="Times New Roman" w:cs="Times New Roman"/>
                <w:color w:val="auto"/>
                <w:sz w:val="24"/>
              </w:rPr>
            </w:pPr>
            <w:r>
              <w:rPr>
                <w:rFonts w:hint="default" w:ascii="Times New Roman" w:hAnsi="Times New Roman" w:cs="Times New Roman"/>
                <w:color w:val="auto"/>
                <w:sz w:val="24"/>
              </w:rPr>
              <w:t>108°77′59.729″</w:t>
            </w:r>
          </w:p>
        </w:tc>
        <w:tc>
          <w:tcPr>
            <w:tcW w:w="1178" w:type="pct"/>
            <w:tcBorders>
              <w:tl2br w:val="nil"/>
              <w:tr2bl w:val="nil"/>
            </w:tcBorders>
            <w:noWrap w:val="0"/>
            <w:vAlign w:val="center"/>
          </w:tcPr>
          <w:p>
            <w:pPr>
              <w:overflowPunct w:val="0"/>
              <w:autoSpaceDE w:val="0"/>
              <w:autoSpaceDN w:val="0"/>
              <w:adjustRightInd w:val="0"/>
              <w:snapToGrid w:val="0"/>
              <w:spacing w:line="370" w:lineRule="exact"/>
              <w:jc w:val="center"/>
              <w:rPr>
                <w:rFonts w:hint="default" w:ascii="Times New Roman" w:hAnsi="Times New Roman" w:cs="Times New Roman"/>
                <w:color w:val="auto"/>
                <w:sz w:val="24"/>
              </w:rPr>
            </w:pPr>
            <w:r>
              <w:rPr>
                <w:rFonts w:hint="default" w:ascii="Times New Roman" w:hAnsi="Times New Roman" w:cs="Times New Roman"/>
                <w:b/>
                <w:bCs/>
                <w:color w:val="auto"/>
                <w:sz w:val="24"/>
              </w:rPr>
              <w:t>厂区中心纬度</w:t>
            </w:r>
          </w:p>
        </w:tc>
        <w:tc>
          <w:tcPr>
            <w:tcW w:w="1281" w:type="pct"/>
            <w:tcBorders>
              <w:tl2br w:val="nil"/>
              <w:tr2bl w:val="nil"/>
            </w:tcBorders>
            <w:noWrap w:val="0"/>
            <w:vAlign w:val="center"/>
          </w:tcPr>
          <w:p>
            <w:pPr>
              <w:overflowPunct w:val="0"/>
              <w:autoSpaceDE w:val="0"/>
              <w:autoSpaceDN w:val="0"/>
              <w:adjustRightInd w:val="0"/>
              <w:snapToGrid w:val="0"/>
              <w:spacing w:line="370" w:lineRule="exact"/>
              <w:jc w:val="center"/>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34°37′49.100″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所属行业类别</w:t>
            </w:r>
          </w:p>
        </w:tc>
        <w:tc>
          <w:tcPr>
            <w:tcW w:w="3813" w:type="pct"/>
            <w:gridSpan w:val="4"/>
            <w:tcBorders>
              <w:tl2br w:val="nil"/>
              <w:tr2bl w:val="nil"/>
            </w:tcBorders>
            <w:noWrap w:val="0"/>
            <w:vAlign w:val="center"/>
          </w:tcPr>
          <w:p>
            <w:pPr>
              <w:overflowPunct w:val="0"/>
              <w:autoSpaceDE w:val="0"/>
              <w:autoSpaceDN w:val="0"/>
              <w:adjustRightInd w:val="0"/>
              <w:snapToGrid w:val="0"/>
              <w:spacing w:line="370" w:lineRule="exact"/>
              <w:jc w:val="center"/>
              <w:rPr>
                <w:rFonts w:hint="default" w:ascii="Times New Roman" w:hAnsi="Times New Roman" w:cs="Times New Roman"/>
                <w:color w:val="auto"/>
                <w:sz w:val="24"/>
              </w:rPr>
            </w:pPr>
            <w:r>
              <w:rPr>
                <w:rFonts w:hint="default" w:ascii="Times New Roman" w:hAnsi="Times New Roman" w:eastAsia="仿宋" w:cs="Times New Roman"/>
                <w:color w:val="auto"/>
                <w:sz w:val="24"/>
                <w:lang w:eastAsia="zh-CN"/>
              </w:rPr>
              <w:t>C3311 金属结构制造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负责人</w:t>
            </w:r>
          </w:p>
        </w:tc>
        <w:tc>
          <w:tcPr>
            <w:tcW w:w="1354" w:type="pct"/>
            <w:gridSpan w:val="2"/>
            <w:tcBorders>
              <w:tl2br w:val="nil"/>
              <w:tr2bl w:val="nil"/>
            </w:tcBorders>
            <w:noWrap w:val="0"/>
            <w:vAlign w:val="center"/>
          </w:tcPr>
          <w:p>
            <w:pPr>
              <w:overflowPunct w:val="0"/>
              <w:autoSpaceDE w:val="0"/>
              <w:autoSpaceDN w:val="0"/>
              <w:adjustRightInd w:val="0"/>
              <w:snapToGrid w:val="0"/>
              <w:spacing w:line="370" w:lineRule="exact"/>
              <w:jc w:val="center"/>
              <w:rPr>
                <w:rFonts w:hint="eastAsia" w:ascii="Times New Roman" w:hAnsi="Times New Roman" w:eastAsia="宋体" w:cs="Times New Roman"/>
                <w:color w:val="auto"/>
                <w:sz w:val="24"/>
                <w:lang w:eastAsia="zh-CN"/>
              </w:rPr>
            </w:pPr>
            <w:r>
              <w:rPr>
                <w:rFonts w:hint="eastAsia" w:ascii="仿宋" w:hAnsi="仿宋" w:eastAsia="仿宋" w:cs="仿宋"/>
                <w:b w:val="0"/>
                <w:bCs/>
                <w:color w:val="auto"/>
                <w:kern w:val="0"/>
                <w:sz w:val="24"/>
                <w:szCs w:val="24"/>
                <w:highlight w:val="none"/>
                <w:lang w:val="en-US" w:eastAsia="zh-CN" w:bidi="en-US"/>
              </w:rPr>
              <w:t>余文平</w:t>
            </w:r>
          </w:p>
        </w:tc>
        <w:tc>
          <w:tcPr>
            <w:tcW w:w="1178" w:type="pct"/>
            <w:tcBorders>
              <w:tl2br w:val="nil"/>
              <w:tr2bl w:val="nil"/>
            </w:tcBorders>
            <w:noWrap w:val="0"/>
            <w:vAlign w:val="center"/>
          </w:tcPr>
          <w:p>
            <w:pPr>
              <w:overflowPunct w:val="0"/>
              <w:autoSpaceDE w:val="0"/>
              <w:autoSpaceDN w:val="0"/>
              <w:adjustRightInd w:val="0"/>
              <w:snapToGrid w:val="0"/>
              <w:spacing w:line="370" w:lineRule="exact"/>
              <w:jc w:val="center"/>
              <w:rPr>
                <w:rFonts w:hint="default" w:ascii="Times New Roman" w:hAnsi="Times New Roman" w:cs="Times New Roman"/>
                <w:color w:val="auto"/>
                <w:sz w:val="24"/>
              </w:rPr>
            </w:pPr>
            <w:r>
              <w:rPr>
                <w:rFonts w:hint="default" w:ascii="Times New Roman" w:hAnsi="Times New Roman" w:cs="Times New Roman"/>
                <w:b/>
                <w:bCs/>
                <w:color w:val="auto"/>
                <w:sz w:val="24"/>
              </w:rPr>
              <w:t>联系方式</w:t>
            </w:r>
          </w:p>
        </w:tc>
        <w:tc>
          <w:tcPr>
            <w:tcW w:w="1281" w:type="pct"/>
            <w:tcBorders>
              <w:tl2br w:val="nil"/>
              <w:tr2bl w:val="nil"/>
            </w:tcBorders>
            <w:noWrap w:val="0"/>
            <w:vAlign w:val="center"/>
          </w:tcPr>
          <w:p>
            <w:pPr>
              <w:overflowPunct w:val="0"/>
              <w:autoSpaceDE w:val="0"/>
              <w:autoSpaceDN w:val="0"/>
              <w:adjustRightInd w:val="0"/>
              <w:snapToGrid w:val="0"/>
              <w:spacing w:line="370" w:lineRule="exact"/>
              <w:jc w:val="center"/>
              <w:rPr>
                <w:rFonts w:hint="default" w:ascii="Times New Roman" w:hAnsi="Times New Roman" w:cs="Times New Roman"/>
                <w:color w:val="auto"/>
                <w:sz w:val="24"/>
              </w:rPr>
            </w:pPr>
            <w:r>
              <w:rPr>
                <w:rFonts w:hint="eastAsia" w:ascii="Times New Roman" w:hAnsi="Times New Roman" w:eastAsia="仿宋" w:cs="Times New Roman"/>
                <w:b w:val="0"/>
                <w:bCs/>
                <w:color w:val="auto"/>
                <w:kern w:val="0"/>
                <w:sz w:val="24"/>
                <w:szCs w:val="24"/>
                <w:highlight w:val="none"/>
                <w:lang w:val="en-US" w:eastAsia="zh-CN" w:bidi="en-US"/>
              </w:rPr>
              <w:t>13619180823</w:t>
            </w:r>
            <w:r>
              <w:rPr>
                <w:rFonts w:hint="default" w:ascii="Times New Roman" w:hAnsi="Times New Roman" w:cs="Times New Roman"/>
                <w:color w:val="auto"/>
                <w:sz w:val="24"/>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企业规模</w:t>
            </w:r>
          </w:p>
        </w:tc>
        <w:tc>
          <w:tcPr>
            <w:tcW w:w="3813" w:type="pct"/>
            <w:gridSpan w:val="4"/>
            <w:tcBorders>
              <w:tl2br w:val="nil"/>
              <w:tr2bl w:val="nil"/>
            </w:tcBorders>
            <w:noWrap w:val="0"/>
            <w:vAlign w:val="center"/>
          </w:tcPr>
          <w:p>
            <w:pPr>
              <w:overflowPunct w:val="0"/>
              <w:autoSpaceDE w:val="0"/>
              <w:autoSpaceDN w:val="0"/>
              <w:adjustRightInd w:val="0"/>
              <w:snapToGrid w:val="0"/>
              <w:spacing w:line="370" w:lineRule="exact"/>
              <w:jc w:val="center"/>
              <w:rPr>
                <w:rFonts w:hint="default" w:ascii="仿宋" w:hAnsi="仿宋" w:eastAsia="仿宋" w:cs="仿宋"/>
                <w:b w:val="0"/>
                <w:bCs/>
                <w:color w:val="auto"/>
                <w:kern w:val="0"/>
                <w:sz w:val="24"/>
                <w:szCs w:val="24"/>
                <w:highlight w:val="none"/>
                <w:lang w:val="en-US" w:eastAsia="zh-CN" w:bidi="en-US"/>
              </w:rPr>
            </w:pPr>
            <w:r>
              <w:rPr>
                <w:rFonts w:hint="default" w:ascii="仿宋" w:hAnsi="仿宋" w:eastAsia="仿宋" w:cs="仿宋"/>
                <w:b w:val="0"/>
                <w:bCs/>
                <w:color w:val="auto"/>
                <w:kern w:val="0"/>
                <w:sz w:val="24"/>
                <w:szCs w:val="24"/>
                <w:highlight w:val="none"/>
                <w:lang w:val="en-US" w:eastAsia="zh-CN" w:bidi="en-US"/>
              </w:rPr>
              <w:t>年加工钢结构件</w:t>
            </w:r>
            <w:r>
              <w:rPr>
                <w:rFonts w:hint="default" w:ascii="Times New Roman" w:hAnsi="Times New Roman" w:eastAsia="仿宋" w:cs="Times New Roman"/>
                <w:b w:val="0"/>
                <w:bCs/>
                <w:color w:val="auto"/>
                <w:kern w:val="0"/>
                <w:sz w:val="24"/>
                <w:szCs w:val="24"/>
                <w:highlight w:val="none"/>
                <w:lang w:val="en-US" w:eastAsia="zh-CN" w:bidi="en-US"/>
              </w:rPr>
              <w:t>2万</w:t>
            </w:r>
            <w:r>
              <w:rPr>
                <w:rFonts w:hint="default" w:ascii="仿宋" w:hAnsi="仿宋" w:eastAsia="仿宋" w:cs="仿宋"/>
                <w:b w:val="0"/>
                <w:bCs/>
                <w:color w:val="auto"/>
                <w:kern w:val="0"/>
                <w:sz w:val="24"/>
                <w:szCs w:val="24"/>
                <w:highlight w:val="none"/>
                <w:lang w:val="en-US" w:eastAsia="zh-CN" w:bidi="en-US"/>
              </w:rPr>
              <w:t>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占地面积</w:t>
            </w:r>
          </w:p>
        </w:tc>
        <w:tc>
          <w:tcPr>
            <w:tcW w:w="1354" w:type="pct"/>
            <w:gridSpan w:val="2"/>
            <w:tcBorders>
              <w:tl2br w:val="nil"/>
              <w:tr2bl w:val="nil"/>
            </w:tcBorders>
            <w:noWrap w:val="0"/>
            <w:vAlign w:val="center"/>
          </w:tcPr>
          <w:p>
            <w:pPr>
              <w:overflowPunct w:val="0"/>
              <w:autoSpaceDE w:val="0"/>
              <w:autoSpaceDN w:val="0"/>
              <w:adjustRightInd w:val="0"/>
              <w:snapToGrid w:val="0"/>
              <w:spacing w:line="370" w:lineRule="exact"/>
              <w:jc w:val="center"/>
              <w:rPr>
                <w:rFonts w:hint="default" w:ascii="Times New Roman" w:hAnsi="Times New Roman" w:cs="Times New Roman"/>
                <w:color w:val="auto"/>
                <w:sz w:val="24"/>
              </w:rPr>
            </w:pPr>
            <w:r>
              <w:rPr>
                <w:rFonts w:hint="eastAsia" w:ascii="Times New Roman" w:hAnsi="Times New Roman" w:eastAsia="仿宋" w:cs="Times New Roman"/>
                <w:color w:val="auto"/>
                <w:kern w:val="0"/>
                <w:sz w:val="24"/>
                <w:szCs w:val="24"/>
                <w:vertAlign w:val="baseline"/>
                <w:lang w:val="en-US" w:eastAsia="zh-CN"/>
              </w:rPr>
              <w:t>1500</w:t>
            </w:r>
            <w:r>
              <w:rPr>
                <w:rFonts w:hint="default" w:ascii="Times New Roman" w:hAnsi="Times New Roman" w:eastAsia="仿宋" w:cs="Times New Roman"/>
                <w:color w:val="auto"/>
                <w:kern w:val="0"/>
                <w:sz w:val="24"/>
                <w:szCs w:val="24"/>
                <w:lang w:eastAsia="zh-CN"/>
              </w:rPr>
              <w:t>m</w:t>
            </w:r>
            <w:r>
              <w:rPr>
                <w:rFonts w:hint="default" w:ascii="Times New Roman" w:hAnsi="Times New Roman" w:eastAsia="仿宋" w:cs="Times New Roman"/>
                <w:color w:val="auto"/>
                <w:kern w:val="0"/>
                <w:sz w:val="24"/>
                <w:szCs w:val="24"/>
                <w:vertAlign w:val="superscript"/>
                <w:lang w:eastAsia="zh-CN"/>
              </w:rPr>
              <w:t>2</w:t>
            </w:r>
          </w:p>
        </w:tc>
        <w:tc>
          <w:tcPr>
            <w:tcW w:w="1178" w:type="pct"/>
            <w:tcBorders>
              <w:tl2br w:val="nil"/>
              <w:tr2bl w:val="nil"/>
            </w:tcBorders>
            <w:noWrap w:val="0"/>
            <w:vAlign w:val="center"/>
          </w:tcPr>
          <w:p>
            <w:pPr>
              <w:overflowPunct w:val="0"/>
              <w:autoSpaceDE w:val="0"/>
              <w:autoSpaceDN w:val="0"/>
              <w:adjustRightInd w:val="0"/>
              <w:snapToGrid w:val="0"/>
              <w:spacing w:line="370" w:lineRule="exact"/>
              <w:ind w:left="210" w:leftChars="100"/>
              <w:jc w:val="center"/>
              <w:rPr>
                <w:rFonts w:hint="default" w:ascii="Times New Roman" w:hAnsi="Times New Roman" w:cs="Times New Roman"/>
                <w:color w:val="auto"/>
                <w:sz w:val="24"/>
              </w:rPr>
            </w:pPr>
            <w:r>
              <w:rPr>
                <w:rFonts w:hint="default" w:ascii="Times New Roman" w:hAnsi="Times New Roman" w:cs="Times New Roman"/>
                <w:b/>
                <w:bCs/>
                <w:color w:val="auto"/>
                <w:sz w:val="24"/>
              </w:rPr>
              <w:t>邮政编码</w:t>
            </w:r>
          </w:p>
        </w:tc>
        <w:tc>
          <w:tcPr>
            <w:tcW w:w="1281" w:type="pct"/>
            <w:tcBorders>
              <w:tl2br w:val="nil"/>
              <w:tr2bl w:val="nil"/>
            </w:tcBorders>
            <w:noWrap w:val="0"/>
            <w:vAlign w:val="center"/>
          </w:tcPr>
          <w:p>
            <w:pPr>
              <w:overflowPunct w:val="0"/>
              <w:autoSpaceDE w:val="0"/>
              <w:autoSpaceDN w:val="0"/>
              <w:adjustRightInd w:val="0"/>
              <w:snapToGrid w:val="0"/>
              <w:spacing w:line="370" w:lineRule="exact"/>
              <w:ind w:left="210" w:leftChars="100"/>
              <w:jc w:val="center"/>
              <w:rPr>
                <w:rFonts w:hint="default" w:ascii="Times New Roman" w:hAnsi="Times New Roman" w:eastAsia="宋体" w:cs="Times New Roman"/>
                <w:color w:val="auto"/>
                <w:sz w:val="24"/>
                <w:lang w:val="en-US" w:eastAsia="zh-CN"/>
              </w:rPr>
            </w:pPr>
            <w:r>
              <w:rPr>
                <w:rFonts w:hint="eastAsia" w:ascii="Times New Roman" w:hAnsi="Times New Roman" w:eastAsia="宋体" w:cs="Times New Roman"/>
                <w:snapToGrid w:val="0"/>
                <w:color w:val="auto"/>
                <w:kern w:val="0"/>
                <w:sz w:val="24"/>
                <w:lang w:val="en-US" w:eastAsia="zh-CN"/>
              </w:rPr>
              <w:t>710603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地理位置</w:t>
            </w:r>
          </w:p>
        </w:tc>
        <w:tc>
          <w:tcPr>
            <w:tcW w:w="3813" w:type="pct"/>
            <w:gridSpan w:val="4"/>
            <w:tcBorders>
              <w:tl2br w:val="nil"/>
              <w:tr2bl w:val="nil"/>
            </w:tcBorders>
            <w:noWrap w:val="0"/>
            <w:vAlign w:val="center"/>
          </w:tcPr>
          <w:p>
            <w:pPr>
              <w:overflowPunct w:val="0"/>
              <w:autoSpaceDE w:val="0"/>
              <w:autoSpaceDN w:val="0"/>
              <w:adjustRightInd w:val="0"/>
              <w:snapToGrid w:val="0"/>
              <w:spacing w:line="370" w:lineRule="exact"/>
              <w:ind w:firstLine="480" w:firstLineChars="200"/>
              <w:rPr>
                <w:rFonts w:hint="default" w:ascii="Times New Roman" w:hAnsi="Times New Roman" w:cs="Times New Roman"/>
                <w:color w:val="auto"/>
                <w:sz w:val="24"/>
              </w:rPr>
            </w:pPr>
            <w:r>
              <w:rPr>
                <w:rFonts w:hint="eastAsia" w:ascii="Times New Roman" w:hAnsi="Times New Roman" w:eastAsia="仿宋" w:cs="Times New Roman"/>
                <w:color w:val="auto"/>
                <w:sz w:val="24"/>
                <w:lang w:eastAsia="zh-CN"/>
              </w:rPr>
              <w:t>九冶钢结构有限公司</w:t>
            </w:r>
            <w:r>
              <w:rPr>
                <w:rFonts w:hint="default" w:ascii="Times New Roman" w:hAnsi="Times New Roman" w:eastAsia="仿宋" w:cs="Times New Roman"/>
                <w:color w:val="auto"/>
                <w:sz w:val="24"/>
              </w:rPr>
              <w:t>位于</w:t>
            </w:r>
            <w:r>
              <w:rPr>
                <w:rFonts w:hint="eastAsia" w:ascii="Times New Roman" w:hAnsi="Times New Roman" w:eastAsia="仿宋" w:cs="Times New Roman"/>
                <w:color w:val="auto"/>
                <w:sz w:val="24"/>
                <w:lang w:eastAsia="zh-CN"/>
              </w:rPr>
              <w:t>陕西省西咸新区秦汉新城咸红路69号</w:t>
            </w:r>
            <w:r>
              <w:rPr>
                <w:rFonts w:hint="default" w:ascii="Times New Roman" w:hAnsi="Times New Roman" w:eastAsia="仿宋" w:cs="Times New Roman"/>
                <w:color w:val="auto"/>
                <w:sz w:val="24"/>
              </w:rPr>
              <w:t>。西咸新区位于西安、咸阳两市接合部，东临高陵县和未央区，北接三原、泾阳县，西邻户县和兴平市，总面积882平方公里。新区东距西安市中心10公里，西距咸阳市中心3公里，是西安国际化大都市未来拓展的重点区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地形地貌</w:t>
            </w:r>
          </w:p>
        </w:tc>
        <w:tc>
          <w:tcPr>
            <w:tcW w:w="3813" w:type="pct"/>
            <w:gridSpan w:val="4"/>
            <w:tcBorders>
              <w:tl2br w:val="nil"/>
              <w:tr2bl w:val="nil"/>
            </w:tcBorders>
            <w:noWrap w:val="0"/>
            <w:vAlign w:val="center"/>
          </w:tcPr>
          <w:p>
            <w:pPr>
              <w:overflowPunct w:val="0"/>
              <w:autoSpaceDE w:val="0"/>
              <w:autoSpaceDN w:val="0"/>
              <w:adjustRightInd w:val="0"/>
              <w:snapToGrid w:val="0"/>
              <w:spacing w:line="370" w:lineRule="exact"/>
              <w:ind w:firstLine="480" w:firstLineChars="200"/>
              <w:rPr>
                <w:rFonts w:hint="default" w:ascii="Times New Roman" w:hAnsi="Times New Roman" w:eastAsia="仿宋" w:cs="Times New Roman"/>
                <w:color w:val="auto"/>
                <w:sz w:val="24"/>
              </w:rPr>
            </w:pPr>
            <w:r>
              <w:rPr>
                <w:rFonts w:hint="default" w:ascii="Times New Roman" w:hAnsi="Times New Roman" w:eastAsia="仿宋" w:cs="Times New Roman"/>
                <w:color w:val="auto"/>
                <w:sz w:val="24"/>
              </w:rPr>
              <w:t>西咸新区地处陕西关中平原腹地,南与西安市隔水相望,北与甘肃相连,东与渭南、铜川市毗邻，西与宝鸡市接壤。表现为三个单一是南部渭河、泾河平原,约占总面积1/5;二是中部台源区，也约占总面积的1/5;三是北部高原丘陵区,约占总面积3/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气候类型</w:t>
            </w:r>
          </w:p>
        </w:tc>
        <w:tc>
          <w:tcPr>
            <w:tcW w:w="3813" w:type="pct"/>
            <w:gridSpan w:val="4"/>
            <w:tcBorders>
              <w:tl2br w:val="nil"/>
              <w:tr2bl w:val="nil"/>
            </w:tcBorders>
            <w:noWrap w:val="0"/>
            <w:vAlign w:val="center"/>
          </w:tcPr>
          <w:p>
            <w:pPr>
              <w:overflowPunct w:val="0"/>
              <w:autoSpaceDE w:val="0"/>
              <w:autoSpaceDN w:val="0"/>
              <w:adjustRightInd w:val="0"/>
              <w:snapToGrid w:val="0"/>
              <w:spacing w:line="37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rPr>
              <w:t>西咸新区属暖温带大陆性季风气候，冷暖干湿四季分明。冬季寒冷干燥，夏季炎热多雨，降水量年际变化很大，七月、九月降水较为集中。年最高气温在40摄氏度左右，年最低温度在-8摄氏度左右。无霜期平均为219—233天，年主导风向为东北风。常有旱涝灾害发生，并伴有暴雨、冰雹、大风和沙尘暴等灾害性天气，春末秋初寒潮降温造成冻害。</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highlight w:val="none"/>
              </w:rPr>
              <w:t>风向玫瑰图</w:t>
            </w:r>
          </w:p>
        </w:tc>
        <w:tc>
          <w:tcPr>
            <w:tcW w:w="3813" w:type="pct"/>
            <w:gridSpan w:val="4"/>
            <w:tcBorders>
              <w:tl2br w:val="nil"/>
              <w:tr2bl w:val="nil"/>
            </w:tcBorders>
            <w:noWrap w:val="0"/>
            <w:vAlign w:val="center"/>
          </w:tcPr>
          <w:p>
            <w:pPr>
              <w:overflowPunct w:val="0"/>
              <w:autoSpaceDE w:val="0"/>
              <w:autoSpaceDN w:val="0"/>
              <w:adjustRightInd w:val="0"/>
              <w:snapToGrid w:val="0"/>
              <w:jc w:val="center"/>
              <w:rPr>
                <w:rFonts w:hint="eastAsia" w:ascii="仿宋" w:hAnsi="仿宋" w:eastAsia="仿宋" w:cs="仿宋"/>
                <w:color w:val="auto"/>
                <w:sz w:val="24"/>
              </w:rPr>
            </w:pPr>
            <w:r>
              <w:rPr>
                <w:color w:val="auto"/>
              </w:rPr>
              <w:drawing>
                <wp:inline distT="0" distB="0" distL="114300" distR="114300">
                  <wp:extent cx="1359535" cy="1261745"/>
                  <wp:effectExtent l="0" t="0" r="12065" b="1460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8"/>
                          <a:stretch>
                            <a:fillRect/>
                          </a:stretch>
                        </pic:blipFill>
                        <pic:spPr>
                          <a:xfrm>
                            <a:off x="0" y="0"/>
                            <a:ext cx="1359535" cy="1261745"/>
                          </a:xfrm>
                          <a:prstGeom prst="rect">
                            <a:avLst/>
                          </a:prstGeom>
                          <a:noFill/>
                          <a:ln>
                            <a:noFill/>
                          </a:ln>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center"/>
              <w:rPr>
                <w:rFonts w:hint="default" w:ascii="Times New Roman" w:hAnsi="Times New Roman" w:cs="Times New Roman"/>
                <w:b/>
                <w:bCs/>
                <w:color w:val="auto"/>
                <w:sz w:val="24"/>
              </w:rPr>
            </w:pPr>
            <w:r>
              <w:rPr>
                <w:rFonts w:hint="default" w:ascii="Times New Roman" w:hAnsi="Times New Roman" w:cs="Times New Roman"/>
                <w:b/>
                <w:bCs/>
                <w:color w:val="auto"/>
                <w:sz w:val="24"/>
              </w:rPr>
              <w:t>环境功能区划</w:t>
            </w:r>
          </w:p>
        </w:tc>
        <w:tc>
          <w:tcPr>
            <w:tcW w:w="3813" w:type="pct"/>
            <w:gridSpan w:val="4"/>
            <w:tcBorders>
              <w:tl2br w:val="nil"/>
              <w:tr2bl w:val="nil"/>
            </w:tcBorders>
            <w:noWrap w:val="0"/>
            <w:vAlign w:val="center"/>
          </w:tcPr>
          <w:p>
            <w:pPr>
              <w:overflowPunct w:val="0"/>
              <w:autoSpaceDE w:val="0"/>
              <w:autoSpaceDN w:val="0"/>
              <w:adjustRightInd w:val="0"/>
              <w:snapToGrid w:val="0"/>
              <w:spacing w:line="370" w:lineRule="exact"/>
              <w:ind w:firstLine="480" w:firstLineChars="200"/>
              <w:rPr>
                <w:rFonts w:hint="eastAsia" w:ascii="仿宋" w:hAnsi="仿宋" w:eastAsia="仿宋" w:cs="仿宋"/>
                <w:color w:val="auto"/>
                <w:sz w:val="24"/>
              </w:rPr>
            </w:pPr>
            <w:r>
              <w:rPr>
                <w:rFonts w:hint="eastAsia" w:ascii="仿宋" w:hAnsi="仿宋" w:eastAsia="仿宋" w:cs="仿宋"/>
                <w:color w:val="auto"/>
                <w:sz w:val="24"/>
                <w:lang w:eastAsia="zh-CN"/>
              </w:rPr>
              <w:t>九冶钢结构有限公司</w:t>
            </w:r>
            <w:r>
              <w:rPr>
                <w:rFonts w:hint="eastAsia" w:ascii="仿宋" w:hAnsi="仿宋" w:eastAsia="仿宋" w:cs="仿宋"/>
                <w:color w:val="auto"/>
                <w:sz w:val="24"/>
              </w:rPr>
              <w:t>所在区域属于环境空气功能区划二类；声功能区划</w:t>
            </w:r>
            <w:r>
              <w:rPr>
                <w:rFonts w:hint="default" w:ascii="Times New Roman" w:hAnsi="Times New Roman" w:eastAsia="仿宋" w:cs="Times New Roman"/>
                <w:color w:val="auto"/>
                <w:sz w:val="24"/>
              </w:rPr>
              <w:t>2</w:t>
            </w:r>
            <w:r>
              <w:rPr>
                <w:rFonts w:hint="eastAsia" w:ascii="仿宋" w:hAnsi="仿宋" w:eastAsia="仿宋" w:cs="仿宋"/>
                <w:color w:val="auto"/>
                <w:sz w:val="24"/>
              </w:rPr>
              <w:t>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186" w:type="pct"/>
            <w:tcBorders>
              <w:tl2br w:val="nil"/>
              <w:tr2bl w:val="nil"/>
            </w:tcBorders>
            <w:noWrap w:val="0"/>
            <w:vAlign w:val="center"/>
          </w:tcPr>
          <w:p>
            <w:pPr>
              <w:overflowPunct w:val="0"/>
              <w:autoSpaceDE w:val="0"/>
              <w:autoSpaceDN w:val="0"/>
              <w:adjustRightInd w:val="0"/>
              <w:snapToGrid w:val="0"/>
              <w:spacing w:line="370" w:lineRule="exact"/>
              <w:ind w:left="-63" w:leftChars="-30" w:right="-63" w:rightChars="-30"/>
              <w:jc w:val="both"/>
              <w:rPr>
                <w:rFonts w:hint="default" w:ascii="Times New Roman" w:hAnsi="Times New Roman" w:cs="Times New Roman"/>
                <w:b/>
                <w:bCs/>
                <w:color w:val="auto"/>
                <w:sz w:val="24"/>
              </w:rPr>
            </w:pPr>
            <w:r>
              <w:rPr>
                <w:rFonts w:hint="eastAsia" w:ascii="Times New Roman" w:hAnsi="Times New Roman" w:cs="Times New Roman"/>
                <w:b/>
                <w:bCs/>
                <w:color w:val="auto"/>
                <w:sz w:val="24"/>
              </w:rPr>
              <w:t>环境风险历史事故</w:t>
            </w:r>
          </w:p>
        </w:tc>
        <w:tc>
          <w:tcPr>
            <w:tcW w:w="3813" w:type="pct"/>
            <w:gridSpan w:val="4"/>
            <w:tcBorders>
              <w:tl2br w:val="nil"/>
              <w:tr2bl w:val="nil"/>
            </w:tcBorders>
            <w:noWrap w:val="0"/>
            <w:vAlign w:val="center"/>
          </w:tcPr>
          <w:p>
            <w:pPr>
              <w:overflowPunct w:val="0"/>
              <w:autoSpaceDE w:val="0"/>
              <w:autoSpaceDN w:val="0"/>
              <w:adjustRightInd w:val="0"/>
              <w:snapToGrid w:val="0"/>
              <w:spacing w:line="370" w:lineRule="exact"/>
              <w:ind w:firstLine="480" w:firstLineChars="200"/>
              <w:jc w:val="center"/>
              <w:rPr>
                <w:rFonts w:hint="eastAsia" w:ascii="仿宋" w:hAnsi="仿宋" w:eastAsia="仿宋" w:cs="仿宋"/>
                <w:color w:val="auto"/>
                <w:sz w:val="24"/>
                <w:lang w:eastAsia="zh-CN"/>
              </w:rPr>
            </w:pPr>
            <w:r>
              <w:rPr>
                <w:rFonts w:hint="eastAsia" w:ascii="仿宋" w:hAnsi="仿宋" w:eastAsia="仿宋" w:cs="仿宋"/>
                <w:color w:val="auto"/>
                <w:sz w:val="24"/>
                <w:lang w:eastAsia="zh-CN"/>
              </w:rPr>
              <w:t>本企业无环境风险历史事故</w:t>
            </w:r>
          </w:p>
        </w:tc>
      </w:tr>
    </w:tbl>
    <w:p>
      <w:pPr>
        <w:pStyle w:val="2"/>
        <w:keepNext/>
        <w:keepLines/>
        <w:pageBreakBefore w:val="0"/>
        <w:widowControl w:val="0"/>
        <w:kinsoku/>
        <w:wordWrap/>
        <w:overflowPunct/>
        <w:topLinePunct w:val="0"/>
        <w:autoSpaceDE/>
        <w:autoSpaceDN/>
        <w:bidi w:val="0"/>
        <w:adjustRightInd w:val="0"/>
        <w:snapToGrid w:val="0"/>
        <w:spacing w:before="157" w:beforeLines="50" w:beforeAutospacing="0" w:after="0" w:afterAutospacing="0" w:line="360" w:lineRule="auto"/>
        <w:ind w:left="0" w:firstLine="562" w:firstLineChars="200"/>
        <w:textAlignment w:val="auto"/>
        <w:outlineLvl w:val="0"/>
        <w:rPr>
          <w:rFonts w:hint="default" w:ascii="Times New Roman" w:hAnsi="Times New Roman" w:eastAsia="仿宋" w:cs="Times New Roman"/>
          <w:color w:val="auto"/>
          <w:sz w:val="28"/>
          <w:szCs w:val="28"/>
        </w:rPr>
      </w:pPr>
      <w:bookmarkStart w:id="128" w:name="_Toc388_WPSOffice_Level1"/>
      <w:bookmarkStart w:id="129" w:name="_Toc29325"/>
      <w:bookmarkStart w:id="130" w:name="_Toc17732466"/>
      <w:bookmarkStart w:id="131" w:name="_Toc12204_WPSOffice_Level1"/>
      <w:bookmarkStart w:id="132" w:name="_Toc26043_WPSOffice_Level1"/>
      <w:bookmarkStart w:id="133" w:name="_Toc32500"/>
      <w:bookmarkStart w:id="134" w:name="_Toc16593"/>
      <w:bookmarkStart w:id="135" w:name="_Toc22032"/>
      <w:bookmarkStart w:id="136" w:name="_Toc23091_WPSOffice_Level1"/>
      <w:bookmarkStart w:id="137" w:name="_Toc524645540"/>
      <w:bookmarkStart w:id="138" w:name="_Toc4867"/>
      <w:bookmarkStart w:id="139" w:name="_Toc4255"/>
      <w:bookmarkStart w:id="140" w:name="_Toc24436"/>
      <w:bookmarkStart w:id="141" w:name="_Toc30326"/>
      <w:r>
        <w:rPr>
          <w:rFonts w:hint="default" w:ascii="Times New Roman" w:hAnsi="Times New Roman" w:eastAsia="仿宋" w:cs="Times New Roman"/>
          <w:color w:val="auto"/>
          <w:sz w:val="28"/>
          <w:szCs w:val="28"/>
        </w:rPr>
        <w:t>3.2周边环境风险受体情况</w:t>
      </w:r>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pPr>
        <w:pageBreakBefore w:val="0"/>
        <w:kinsoku/>
        <w:wordWrap/>
        <w:overflowPunct/>
        <w:topLinePunct w:val="0"/>
        <w:autoSpaceDE w:val="0"/>
        <w:autoSpaceDN w:val="0"/>
        <w:bidi w:val="0"/>
        <w:adjustRightInd w:val="0"/>
        <w:snapToGrid w:val="0"/>
        <w:spacing w:beforeAutospacing="0" w:afterAutospacing="0" w:line="360" w:lineRule="auto"/>
        <w:ind w:left="0" w:firstLine="560" w:firstLineChars="200"/>
        <w:textAlignment w:val="auto"/>
        <w:rPr>
          <w:rFonts w:hint="default" w:ascii="Times New Roman" w:hAnsi="Times New Roman" w:eastAsia="仿宋" w:cs="Times New Roman"/>
          <w:color w:val="auto"/>
          <w:sz w:val="24"/>
        </w:rPr>
      </w:pPr>
      <w:r>
        <w:rPr>
          <w:rFonts w:hint="default" w:ascii="Times New Roman" w:hAnsi="Times New Roman" w:eastAsia="仿宋" w:cs="Times New Roman"/>
          <w:color w:val="auto"/>
          <w:sz w:val="28"/>
          <w:szCs w:val="28"/>
        </w:rPr>
        <w:t>根据《企业突发环境事件风险分级方法》（HJ 941-2018）表4、7中列出的周边所有环境风险受体的划分标准，环境风险受体分为大气环境风险受体。</w:t>
      </w:r>
    </w:p>
    <w:p>
      <w:pPr>
        <w:keepNext w:val="0"/>
        <w:keepLines w:val="0"/>
        <w:pageBreakBefore w:val="0"/>
        <w:widowControl w:val="0"/>
        <w:kinsoku/>
        <w:wordWrap/>
        <w:overflowPunct/>
        <w:topLinePunct w:val="0"/>
        <w:autoSpaceDE w:val="0"/>
        <w:autoSpaceDN w:val="0"/>
        <w:bidi w:val="0"/>
        <w:adjustRightInd w:val="0"/>
        <w:snapToGrid w:val="0"/>
        <w:spacing w:beforeAutospacing="0" w:afterAutospacing="0" w:line="360" w:lineRule="auto"/>
        <w:ind w:left="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周边环境风险受体见表3.2-1，分布图见附图3</w:t>
      </w:r>
    </w:p>
    <w:p>
      <w:pPr>
        <w:keepNext w:val="0"/>
        <w:keepLines w:val="0"/>
        <w:pageBreakBefore w:val="0"/>
        <w:widowControl w:val="0"/>
        <w:kinsoku/>
        <w:wordWrap/>
        <w:overflowPunct/>
        <w:topLinePunct w:val="0"/>
        <w:bidi w:val="0"/>
        <w:adjustRightInd w:val="0"/>
        <w:snapToGrid w:val="0"/>
        <w:spacing w:line="360" w:lineRule="auto"/>
        <w:ind w:firstLine="482" w:firstLineChars="200"/>
        <w:jc w:val="center"/>
        <w:textAlignment w:val="auto"/>
        <w:rPr>
          <w:rFonts w:hint="default" w:ascii="Times New Roman" w:hAnsi="Times New Roman" w:eastAsia="仿宋" w:cs="Times New Roman"/>
          <w:b/>
          <w:color w:val="auto"/>
          <w:sz w:val="24"/>
          <w:szCs w:val="24"/>
          <w:highlight w:val="none"/>
        </w:rPr>
      </w:pPr>
      <w:r>
        <w:rPr>
          <w:rFonts w:hint="default" w:ascii="Times New Roman" w:hAnsi="Times New Roman" w:eastAsia="仿宋" w:cs="Times New Roman"/>
          <w:b/>
          <w:color w:val="auto"/>
          <w:sz w:val="24"/>
          <w:szCs w:val="24"/>
          <w:highlight w:val="none"/>
        </w:rPr>
        <w:t>表3.2-1  周边环境风险受体统计表</w:t>
      </w:r>
    </w:p>
    <w:tbl>
      <w:tblPr>
        <w:tblStyle w:val="16"/>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68"/>
        <w:gridCol w:w="1786"/>
        <w:gridCol w:w="1198"/>
        <w:gridCol w:w="1801"/>
        <w:gridCol w:w="24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44" w:type="pct"/>
            <w:vMerge w:val="restart"/>
            <w:vAlign w:val="center"/>
          </w:tcPr>
          <w:p>
            <w:pPr>
              <w:jc w:val="center"/>
              <w:rPr>
                <w:rFonts w:ascii="Times New Roman" w:hAnsi="Times New Roman" w:eastAsia="仿宋"/>
                <w:color w:val="auto"/>
                <w:sz w:val="24"/>
                <w:highlight w:val="none"/>
              </w:rPr>
            </w:pPr>
            <w:bookmarkStart w:id="142" w:name="_Toc22225"/>
            <w:bookmarkStart w:id="143" w:name="_Toc30599"/>
            <w:bookmarkStart w:id="144" w:name="_Toc22135"/>
            <w:bookmarkStart w:id="145" w:name="_Toc25092"/>
            <w:bookmarkStart w:id="146" w:name="_Toc26214_WPSOffice_Level1"/>
            <w:bookmarkStart w:id="147" w:name="_Toc5998_WPSOffice_Level1"/>
            <w:bookmarkStart w:id="148" w:name="_Toc22205"/>
            <w:bookmarkStart w:id="149" w:name="_Toc18099_WPSOffice_Level1"/>
            <w:bookmarkStart w:id="150" w:name="_Toc18270_WPSOffice_Level1"/>
            <w:bookmarkStart w:id="151" w:name="_Toc15685"/>
            <w:bookmarkStart w:id="152" w:name="_Toc17732467"/>
            <w:bookmarkStart w:id="153" w:name="_Toc16785_WPSOffice_Level2"/>
            <w:bookmarkStart w:id="154" w:name="_Toc31752"/>
            <w:bookmarkStart w:id="155" w:name="_Toc524645548"/>
            <w:bookmarkStart w:id="156" w:name="_Toc32258_WPSOffice_Level2"/>
            <w:r>
              <w:rPr>
                <w:rFonts w:ascii="Times New Roman" w:hAnsi="Times New Roman" w:eastAsia="仿宋"/>
                <w:color w:val="auto"/>
                <w:sz w:val="24"/>
                <w:highlight w:val="none"/>
              </w:rPr>
              <w:t>风险受体</w:t>
            </w:r>
          </w:p>
        </w:tc>
        <w:tc>
          <w:tcPr>
            <w:tcW w:w="1048" w:type="pct"/>
            <w:vMerge w:val="restart"/>
            <w:vAlign w:val="center"/>
          </w:tcPr>
          <w:p>
            <w:pPr>
              <w:jc w:val="center"/>
              <w:rPr>
                <w:rFonts w:ascii="Times New Roman" w:hAnsi="Times New Roman" w:eastAsia="仿宋"/>
                <w:color w:val="auto"/>
                <w:sz w:val="24"/>
                <w:highlight w:val="none"/>
              </w:rPr>
            </w:pPr>
            <w:r>
              <w:rPr>
                <w:rFonts w:ascii="Times New Roman" w:hAnsi="Times New Roman" w:eastAsia="仿宋"/>
                <w:color w:val="auto"/>
                <w:sz w:val="24"/>
                <w:highlight w:val="none"/>
              </w:rPr>
              <w:t>保护对象及敏感目标</w:t>
            </w:r>
          </w:p>
        </w:tc>
        <w:tc>
          <w:tcPr>
            <w:tcW w:w="703" w:type="pct"/>
            <w:vMerge w:val="restart"/>
            <w:vAlign w:val="center"/>
          </w:tcPr>
          <w:p>
            <w:pPr>
              <w:jc w:val="center"/>
              <w:rPr>
                <w:rFonts w:ascii="Times New Roman" w:hAnsi="Times New Roman" w:eastAsia="仿宋"/>
                <w:color w:val="auto"/>
                <w:sz w:val="24"/>
                <w:highlight w:val="none"/>
              </w:rPr>
            </w:pPr>
            <w:r>
              <w:rPr>
                <w:rFonts w:hint="eastAsia" w:ascii="Times New Roman" w:hAnsi="Times New Roman" w:eastAsia="仿宋"/>
                <w:color w:val="auto"/>
                <w:sz w:val="24"/>
                <w:highlight w:val="none"/>
              </w:rPr>
              <w:t>保护目标</w:t>
            </w:r>
          </w:p>
        </w:tc>
        <w:tc>
          <w:tcPr>
            <w:tcW w:w="1057" w:type="pct"/>
            <w:vAlign w:val="center"/>
          </w:tcPr>
          <w:p>
            <w:pPr>
              <w:jc w:val="center"/>
              <w:rPr>
                <w:rFonts w:ascii="Times New Roman" w:hAnsi="Times New Roman" w:eastAsia="仿宋"/>
                <w:color w:val="auto"/>
                <w:sz w:val="24"/>
                <w:highlight w:val="none"/>
              </w:rPr>
            </w:pPr>
            <w:r>
              <w:rPr>
                <w:rFonts w:ascii="Times New Roman" w:hAnsi="Times New Roman" w:eastAsia="仿宋"/>
                <w:color w:val="auto"/>
                <w:sz w:val="24"/>
                <w:highlight w:val="none"/>
              </w:rPr>
              <w:t>相对厂址关系</w:t>
            </w:r>
          </w:p>
        </w:tc>
        <w:tc>
          <w:tcPr>
            <w:tcW w:w="1447" w:type="pct"/>
            <w:vMerge w:val="restart"/>
            <w:vAlign w:val="center"/>
          </w:tcPr>
          <w:p>
            <w:pPr>
              <w:jc w:val="center"/>
              <w:rPr>
                <w:rFonts w:ascii="Times New Roman" w:hAnsi="Times New Roman" w:eastAsia="仿宋"/>
                <w:color w:val="auto"/>
                <w:sz w:val="24"/>
                <w:highlight w:val="none"/>
              </w:rPr>
            </w:pPr>
            <w:r>
              <w:rPr>
                <w:rFonts w:ascii="Times New Roman" w:hAnsi="Times New Roman" w:eastAsia="仿宋"/>
                <w:color w:val="auto"/>
                <w:sz w:val="24"/>
                <w:highlight w:val="none"/>
              </w:rPr>
              <w:t>保护目标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44" w:type="pct"/>
            <w:vMerge w:val="continue"/>
            <w:vAlign w:val="center"/>
          </w:tcPr>
          <w:p>
            <w:pPr>
              <w:jc w:val="center"/>
              <w:rPr>
                <w:rFonts w:ascii="Times New Roman" w:hAnsi="Times New Roman" w:eastAsia="仿宋"/>
                <w:color w:val="auto"/>
                <w:sz w:val="24"/>
                <w:highlight w:val="none"/>
              </w:rPr>
            </w:pPr>
          </w:p>
        </w:tc>
        <w:tc>
          <w:tcPr>
            <w:tcW w:w="1048" w:type="pct"/>
            <w:vMerge w:val="continue"/>
            <w:vAlign w:val="center"/>
          </w:tcPr>
          <w:p>
            <w:pPr>
              <w:jc w:val="center"/>
              <w:rPr>
                <w:rFonts w:ascii="Times New Roman" w:hAnsi="Times New Roman" w:eastAsia="仿宋"/>
                <w:color w:val="auto"/>
                <w:sz w:val="24"/>
                <w:highlight w:val="none"/>
              </w:rPr>
            </w:pPr>
          </w:p>
        </w:tc>
        <w:tc>
          <w:tcPr>
            <w:tcW w:w="703" w:type="pct"/>
            <w:vMerge w:val="continue"/>
            <w:vAlign w:val="center"/>
          </w:tcPr>
          <w:p>
            <w:pPr>
              <w:jc w:val="center"/>
              <w:rPr>
                <w:rFonts w:ascii="Times New Roman" w:hAnsi="Times New Roman" w:eastAsia="仿宋"/>
                <w:color w:val="auto"/>
                <w:sz w:val="24"/>
                <w:highlight w:val="none"/>
              </w:rPr>
            </w:pPr>
          </w:p>
        </w:tc>
        <w:tc>
          <w:tcPr>
            <w:tcW w:w="1057" w:type="pct"/>
            <w:vAlign w:val="center"/>
          </w:tcPr>
          <w:p>
            <w:pPr>
              <w:jc w:val="center"/>
              <w:rPr>
                <w:rFonts w:ascii="Times New Roman" w:hAnsi="Times New Roman" w:eastAsia="仿宋"/>
                <w:color w:val="auto"/>
                <w:sz w:val="24"/>
                <w:highlight w:val="none"/>
              </w:rPr>
            </w:pPr>
            <w:r>
              <w:rPr>
                <w:rFonts w:ascii="Times New Roman" w:hAnsi="Times New Roman" w:eastAsia="仿宋"/>
                <w:color w:val="auto"/>
                <w:sz w:val="24"/>
                <w:highlight w:val="none"/>
              </w:rPr>
              <w:t>方位</w:t>
            </w:r>
          </w:p>
        </w:tc>
        <w:tc>
          <w:tcPr>
            <w:tcW w:w="1447" w:type="pct"/>
            <w:vMerge w:val="continue"/>
            <w:vAlign w:val="center"/>
          </w:tcPr>
          <w:p>
            <w:pPr>
              <w:jc w:val="center"/>
              <w:rPr>
                <w:rFonts w:ascii="Times New Roman" w:hAnsi="Times New Roman" w:eastAsia="仿宋"/>
                <w:color w:val="auto"/>
                <w:sz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44" w:type="pct"/>
            <w:vMerge w:val="restart"/>
            <w:vAlign w:val="center"/>
          </w:tcPr>
          <w:p>
            <w:pPr>
              <w:jc w:val="center"/>
              <w:rPr>
                <w:rFonts w:ascii="Times New Roman" w:hAnsi="Times New Roman" w:eastAsia="仿宋"/>
                <w:color w:val="auto"/>
                <w:sz w:val="24"/>
                <w:highlight w:val="none"/>
              </w:rPr>
            </w:pPr>
            <w:r>
              <w:rPr>
                <w:rFonts w:ascii="Times New Roman" w:hAnsi="Times New Roman" w:eastAsia="仿宋"/>
                <w:color w:val="auto"/>
                <w:sz w:val="24"/>
                <w:highlight w:val="none"/>
              </w:rPr>
              <w:t>大气环境风险受体</w:t>
            </w:r>
          </w:p>
        </w:tc>
        <w:tc>
          <w:tcPr>
            <w:tcW w:w="1048" w:type="pct"/>
            <w:vAlign w:val="center"/>
          </w:tcPr>
          <w:p>
            <w:pPr>
              <w:jc w:val="center"/>
              <w:rPr>
                <w:rFonts w:hint="eastAsia" w:ascii="Times New Roman" w:hAnsi="Times New Roman" w:eastAsia="仿宋"/>
                <w:color w:val="auto"/>
                <w:sz w:val="24"/>
                <w:highlight w:val="none"/>
                <w:lang w:val="en-US" w:eastAsia="zh-CN"/>
              </w:rPr>
            </w:pPr>
            <w:r>
              <w:rPr>
                <w:rFonts w:hint="eastAsia" w:ascii="Times New Roman" w:hAnsi="Times New Roman" w:eastAsia="仿宋"/>
                <w:color w:val="auto"/>
                <w:sz w:val="24"/>
                <w:highlight w:val="none"/>
                <w:lang w:val="en-US" w:eastAsia="zh-CN"/>
              </w:rPr>
              <w:t>九冶家属院</w:t>
            </w:r>
          </w:p>
        </w:tc>
        <w:tc>
          <w:tcPr>
            <w:tcW w:w="703" w:type="pct"/>
            <w:vAlign w:val="center"/>
          </w:tcPr>
          <w:p>
            <w:pPr>
              <w:jc w:val="center"/>
              <w:rPr>
                <w:rFonts w:hint="eastAsia" w:ascii="Times New Roman" w:hAnsi="Times New Roman" w:eastAsia="仿宋"/>
                <w:color w:val="auto"/>
                <w:sz w:val="24"/>
                <w:highlight w:val="none"/>
              </w:rPr>
            </w:pPr>
            <w:r>
              <w:rPr>
                <w:rFonts w:hint="eastAsia" w:ascii="Times New Roman" w:hAnsi="Times New Roman" w:eastAsia="仿宋"/>
                <w:color w:val="auto"/>
                <w:sz w:val="24"/>
                <w:highlight w:val="none"/>
              </w:rPr>
              <w:t>人群健康</w:t>
            </w:r>
          </w:p>
        </w:tc>
        <w:tc>
          <w:tcPr>
            <w:tcW w:w="1057" w:type="pct"/>
            <w:vAlign w:val="center"/>
          </w:tcPr>
          <w:p>
            <w:pPr>
              <w:jc w:val="center"/>
              <w:rPr>
                <w:rFonts w:hint="eastAsia" w:ascii="Times New Roman" w:hAnsi="Times New Roman" w:eastAsia="仿宋"/>
                <w:color w:val="auto"/>
                <w:sz w:val="24"/>
                <w:highlight w:val="none"/>
                <w:lang w:val="en-US" w:eastAsia="zh-CN"/>
              </w:rPr>
            </w:pPr>
            <w:r>
              <w:rPr>
                <w:rFonts w:hint="eastAsia" w:ascii="Times New Roman" w:hAnsi="Times New Roman" w:eastAsia="仿宋"/>
                <w:color w:val="auto"/>
                <w:sz w:val="24"/>
                <w:highlight w:val="none"/>
                <w:lang w:val="en-US" w:eastAsia="zh-CN"/>
              </w:rPr>
              <w:t>西北  46m</w:t>
            </w:r>
          </w:p>
        </w:tc>
        <w:tc>
          <w:tcPr>
            <w:tcW w:w="1447" w:type="pct"/>
            <w:vMerge w:val="restart"/>
            <w:vAlign w:val="center"/>
          </w:tcPr>
          <w:p>
            <w:pPr>
              <w:jc w:val="center"/>
              <w:rPr>
                <w:rFonts w:ascii="Times New Roman" w:hAnsi="Times New Roman" w:eastAsia="仿宋"/>
                <w:color w:val="auto"/>
                <w:sz w:val="24"/>
                <w:highlight w:val="none"/>
              </w:rPr>
            </w:pPr>
            <w:r>
              <w:rPr>
                <w:rFonts w:ascii="Times New Roman" w:hAnsi="Times New Roman" w:eastAsia="仿宋"/>
                <w:color w:val="auto"/>
                <w:sz w:val="24"/>
                <w:highlight w:val="none"/>
              </w:rPr>
              <w:t>《环境空气质量标准》（GB3095-2012）中二级标准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44" w:type="pct"/>
            <w:vMerge w:val="continue"/>
            <w:vAlign w:val="center"/>
          </w:tcPr>
          <w:p>
            <w:pPr>
              <w:jc w:val="center"/>
              <w:rPr>
                <w:rFonts w:ascii="Times New Roman" w:hAnsi="Times New Roman" w:eastAsia="仿宋"/>
                <w:color w:val="auto"/>
                <w:sz w:val="24"/>
                <w:highlight w:val="none"/>
              </w:rPr>
            </w:pPr>
          </w:p>
        </w:tc>
        <w:tc>
          <w:tcPr>
            <w:tcW w:w="1048" w:type="pct"/>
            <w:vAlign w:val="center"/>
          </w:tcPr>
          <w:p>
            <w:pPr>
              <w:jc w:val="center"/>
              <w:rPr>
                <w:rFonts w:hint="eastAsia" w:ascii="Times New Roman" w:hAnsi="Times New Roman" w:eastAsia="仿宋"/>
                <w:color w:val="auto"/>
                <w:sz w:val="24"/>
                <w:highlight w:val="none"/>
                <w:lang w:val="en-US" w:eastAsia="zh-CN"/>
              </w:rPr>
            </w:pPr>
            <w:r>
              <w:rPr>
                <w:rFonts w:hint="eastAsia" w:ascii="Times New Roman" w:hAnsi="Times New Roman" w:eastAsia="仿宋"/>
                <w:color w:val="auto"/>
                <w:sz w:val="24"/>
                <w:highlight w:val="none"/>
                <w:lang w:val="en-US" w:eastAsia="zh-CN"/>
              </w:rPr>
              <w:t>华秦小学</w:t>
            </w:r>
          </w:p>
        </w:tc>
        <w:tc>
          <w:tcPr>
            <w:tcW w:w="703" w:type="pct"/>
            <w:vAlign w:val="center"/>
          </w:tcPr>
          <w:p>
            <w:pPr>
              <w:jc w:val="center"/>
              <w:rPr>
                <w:rFonts w:ascii="Times New Roman" w:hAnsi="Times New Roman" w:eastAsia="仿宋"/>
                <w:color w:val="auto"/>
                <w:sz w:val="24"/>
                <w:highlight w:val="none"/>
              </w:rPr>
            </w:pPr>
            <w:r>
              <w:rPr>
                <w:rFonts w:hint="eastAsia" w:ascii="Times New Roman" w:hAnsi="Times New Roman" w:eastAsia="仿宋"/>
                <w:color w:val="auto"/>
                <w:sz w:val="24"/>
                <w:highlight w:val="none"/>
              </w:rPr>
              <w:t>人群健康</w:t>
            </w:r>
          </w:p>
        </w:tc>
        <w:tc>
          <w:tcPr>
            <w:tcW w:w="1057" w:type="pct"/>
            <w:vAlign w:val="center"/>
          </w:tcPr>
          <w:p>
            <w:pPr>
              <w:jc w:val="both"/>
              <w:rPr>
                <w:rFonts w:hint="default" w:ascii="Times New Roman" w:hAnsi="Times New Roman" w:eastAsia="仿宋"/>
                <w:color w:val="auto"/>
                <w:sz w:val="24"/>
                <w:highlight w:val="none"/>
                <w:lang w:val="en-US" w:eastAsia="zh-CN"/>
              </w:rPr>
            </w:pPr>
            <w:r>
              <w:rPr>
                <w:rFonts w:hint="eastAsia" w:ascii="Times New Roman" w:hAnsi="Times New Roman" w:eastAsia="仿宋"/>
                <w:color w:val="auto"/>
                <w:sz w:val="24"/>
                <w:highlight w:val="none"/>
                <w:lang w:val="en-US" w:eastAsia="zh-CN"/>
              </w:rPr>
              <w:t xml:space="preserve">   西  330m</w:t>
            </w:r>
          </w:p>
        </w:tc>
        <w:tc>
          <w:tcPr>
            <w:tcW w:w="1447" w:type="pct"/>
            <w:vMerge w:val="continue"/>
            <w:vAlign w:val="center"/>
          </w:tcPr>
          <w:p>
            <w:pPr>
              <w:jc w:val="center"/>
              <w:rPr>
                <w:rFonts w:ascii="Times New Roman" w:hAnsi="Times New Roman" w:eastAsia="仿宋"/>
                <w:color w:val="auto"/>
                <w:sz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44" w:type="pct"/>
            <w:vMerge w:val="continue"/>
            <w:vAlign w:val="center"/>
          </w:tcPr>
          <w:p>
            <w:pPr>
              <w:jc w:val="center"/>
              <w:rPr>
                <w:rFonts w:ascii="Times New Roman" w:hAnsi="Times New Roman" w:eastAsia="仿宋"/>
                <w:color w:val="auto"/>
                <w:sz w:val="24"/>
                <w:highlight w:val="none"/>
              </w:rPr>
            </w:pPr>
          </w:p>
        </w:tc>
        <w:tc>
          <w:tcPr>
            <w:tcW w:w="1048" w:type="pct"/>
            <w:vAlign w:val="center"/>
          </w:tcPr>
          <w:p>
            <w:pPr>
              <w:jc w:val="center"/>
              <w:rPr>
                <w:rFonts w:hint="default" w:ascii="Times New Roman" w:hAnsi="Times New Roman" w:eastAsia="仿宋"/>
                <w:color w:val="auto"/>
                <w:sz w:val="24"/>
                <w:highlight w:val="none"/>
                <w:lang w:val="en-US" w:eastAsia="zh-CN"/>
              </w:rPr>
            </w:pPr>
            <w:r>
              <w:rPr>
                <w:rFonts w:hint="eastAsia" w:ascii="Times New Roman" w:hAnsi="Times New Roman" w:eastAsia="仿宋"/>
                <w:color w:val="auto"/>
                <w:sz w:val="24"/>
                <w:highlight w:val="none"/>
                <w:lang w:val="en-US" w:eastAsia="zh-CN"/>
              </w:rPr>
              <w:t>西安电力高等专科学校</w:t>
            </w:r>
          </w:p>
        </w:tc>
        <w:tc>
          <w:tcPr>
            <w:tcW w:w="703" w:type="pct"/>
            <w:vAlign w:val="center"/>
          </w:tcPr>
          <w:p>
            <w:pPr>
              <w:jc w:val="center"/>
              <w:rPr>
                <w:rFonts w:ascii="Times New Roman" w:hAnsi="Times New Roman" w:eastAsia="仿宋"/>
                <w:color w:val="auto"/>
                <w:sz w:val="24"/>
                <w:highlight w:val="none"/>
              </w:rPr>
            </w:pPr>
            <w:r>
              <w:rPr>
                <w:rFonts w:hint="eastAsia" w:ascii="Times New Roman" w:hAnsi="Times New Roman" w:eastAsia="仿宋"/>
                <w:color w:val="auto"/>
                <w:sz w:val="24"/>
                <w:highlight w:val="none"/>
              </w:rPr>
              <w:t>人群健康</w:t>
            </w:r>
          </w:p>
        </w:tc>
        <w:tc>
          <w:tcPr>
            <w:tcW w:w="1057" w:type="pct"/>
            <w:vAlign w:val="center"/>
          </w:tcPr>
          <w:p>
            <w:pPr>
              <w:jc w:val="center"/>
              <w:rPr>
                <w:rFonts w:hint="default" w:ascii="Times New Roman" w:hAnsi="Times New Roman" w:eastAsia="仿宋"/>
                <w:color w:val="auto"/>
                <w:sz w:val="24"/>
                <w:highlight w:val="none"/>
                <w:lang w:val="en-US" w:eastAsia="zh-CN"/>
              </w:rPr>
            </w:pPr>
            <w:r>
              <w:rPr>
                <w:rFonts w:hint="eastAsia" w:ascii="Times New Roman" w:hAnsi="Times New Roman" w:eastAsia="仿宋"/>
                <w:color w:val="auto"/>
                <w:sz w:val="24"/>
                <w:highlight w:val="none"/>
                <w:lang w:val="en-US" w:eastAsia="zh-CN"/>
              </w:rPr>
              <w:t xml:space="preserve"> 东南  450m</w:t>
            </w:r>
          </w:p>
        </w:tc>
        <w:tc>
          <w:tcPr>
            <w:tcW w:w="1447" w:type="pct"/>
            <w:vMerge w:val="continue"/>
            <w:vAlign w:val="center"/>
          </w:tcPr>
          <w:p>
            <w:pPr>
              <w:jc w:val="center"/>
              <w:rPr>
                <w:rFonts w:ascii="Times New Roman" w:hAnsi="Times New Roman" w:eastAsia="仿宋"/>
                <w:color w:val="auto"/>
                <w:sz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44" w:type="pct"/>
            <w:vMerge w:val="continue"/>
            <w:vAlign w:val="center"/>
          </w:tcPr>
          <w:p>
            <w:pPr>
              <w:jc w:val="center"/>
              <w:rPr>
                <w:rFonts w:ascii="Times New Roman" w:hAnsi="Times New Roman" w:eastAsia="仿宋"/>
                <w:color w:val="auto"/>
                <w:sz w:val="24"/>
                <w:highlight w:val="none"/>
              </w:rPr>
            </w:pPr>
          </w:p>
        </w:tc>
        <w:tc>
          <w:tcPr>
            <w:tcW w:w="1048" w:type="pct"/>
            <w:vAlign w:val="center"/>
          </w:tcPr>
          <w:p>
            <w:pPr>
              <w:jc w:val="center"/>
              <w:rPr>
                <w:rFonts w:hint="default" w:ascii="Times New Roman" w:hAnsi="Times New Roman" w:eastAsia="仿宋"/>
                <w:color w:val="auto"/>
                <w:sz w:val="24"/>
                <w:highlight w:val="none"/>
                <w:lang w:val="en-US" w:eastAsia="zh-CN"/>
              </w:rPr>
            </w:pPr>
            <w:r>
              <w:rPr>
                <w:rFonts w:hint="eastAsia" w:ascii="Times New Roman" w:hAnsi="Times New Roman" w:eastAsia="仿宋"/>
                <w:color w:val="auto"/>
                <w:sz w:val="24"/>
                <w:highlight w:val="none"/>
                <w:lang w:val="en-US" w:eastAsia="zh-CN"/>
              </w:rPr>
              <w:t>幼优乐幼儿园</w:t>
            </w:r>
          </w:p>
        </w:tc>
        <w:tc>
          <w:tcPr>
            <w:tcW w:w="703" w:type="pct"/>
            <w:vAlign w:val="center"/>
          </w:tcPr>
          <w:p>
            <w:pPr>
              <w:jc w:val="center"/>
              <w:rPr>
                <w:rFonts w:ascii="Times New Roman" w:hAnsi="Times New Roman" w:eastAsia="仿宋"/>
                <w:color w:val="auto"/>
                <w:sz w:val="24"/>
                <w:highlight w:val="none"/>
              </w:rPr>
            </w:pPr>
            <w:r>
              <w:rPr>
                <w:rFonts w:hint="eastAsia" w:ascii="Times New Roman" w:hAnsi="Times New Roman" w:eastAsia="仿宋"/>
                <w:color w:val="auto"/>
                <w:sz w:val="24"/>
                <w:highlight w:val="none"/>
              </w:rPr>
              <w:t>人群健康</w:t>
            </w:r>
          </w:p>
        </w:tc>
        <w:tc>
          <w:tcPr>
            <w:tcW w:w="1057" w:type="pct"/>
            <w:vAlign w:val="center"/>
          </w:tcPr>
          <w:p>
            <w:pPr>
              <w:jc w:val="center"/>
              <w:rPr>
                <w:rFonts w:hint="default" w:ascii="Times New Roman" w:hAnsi="Times New Roman" w:eastAsia="仿宋"/>
                <w:color w:val="auto"/>
                <w:sz w:val="24"/>
                <w:highlight w:val="none"/>
                <w:lang w:val="en-US" w:eastAsia="zh-CN"/>
              </w:rPr>
            </w:pPr>
            <w:r>
              <w:rPr>
                <w:rFonts w:hint="eastAsia" w:ascii="Times New Roman" w:hAnsi="Times New Roman" w:eastAsia="仿宋"/>
                <w:color w:val="auto"/>
                <w:sz w:val="24"/>
                <w:highlight w:val="none"/>
                <w:lang w:val="en-US" w:eastAsia="zh-CN"/>
              </w:rPr>
              <w:t xml:space="preserve"> 东北  125m</w:t>
            </w:r>
          </w:p>
        </w:tc>
        <w:tc>
          <w:tcPr>
            <w:tcW w:w="1447" w:type="pct"/>
            <w:vMerge w:val="continue"/>
            <w:vAlign w:val="center"/>
          </w:tcPr>
          <w:p>
            <w:pPr>
              <w:jc w:val="center"/>
              <w:rPr>
                <w:rFonts w:ascii="Times New Roman" w:hAnsi="Times New Roman" w:eastAsia="仿宋"/>
                <w:color w:val="auto"/>
                <w:sz w:val="24"/>
                <w:highlight w:val="none"/>
              </w:rPr>
            </w:pPr>
          </w:p>
        </w:tc>
      </w:tr>
    </w:tbl>
    <w:p>
      <w:pPr>
        <w:pStyle w:val="2"/>
        <w:keepNext/>
        <w:keepLines/>
        <w:pageBreakBefore w:val="0"/>
        <w:widowControl w:val="0"/>
        <w:kinsoku/>
        <w:wordWrap/>
        <w:overflowPunct/>
        <w:topLinePunct w:val="0"/>
        <w:autoSpaceDE/>
        <w:autoSpaceDN/>
        <w:bidi w:val="0"/>
        <w:adjustRightInd w:val="0"/>
        <w:snapToGrid w:val="0"/>
        <w:spacing w:before="157" w:beforeLines="50" w:after="0" w:line="360" w:lineRule="auto"/>
        <w:ind w:firstLine="562" w:firstLineChars="200"/>
        <w:textAlignment w:val="auto"/>
        <w:outlineLvl w:val="0"/>
        <w:rPr>
          <w:rFonts w:hint="default" w:ascii="Times New Roman" w:hAnsi="Times New Roman" w:eastAsia="仿宋" w:cs="Times New Roman"/>
          <w:color w:val="auto"/>
          <w:sz w:val="28"/>
          <w:szCs w:val="28"/>
        </w:rPr>
      </w:pPr>
      <w:bookmarkStart w:id="157" w:name="_Toc12166"/>
      <w:r>
        <w:rPr>
          <w:rFonts w:hint="default" w:ascii="Times New Roman" w:hAnsi="Times New Roman" w:eastAsia="仿宋" w:cs="Times New Roman"/>
          <w:color w:val="auto"/>
          <w:sz w:val="28"/>
          <w:szCs w:val="28"/>
        </w:rPr>
        <w:t>3.3涉及环境风险物质情况</w:t>
      </w:r>
      <w:bookmarkEnd w:id="142"/>
      <w:bookmarkEnd w:id="143"/>
      <w:bookmarkEnd w:id="144"/>
      <w:bookmarkEnd w:id="145"/>
      <w:bookmarkEnd w:id="146"/>
      <w:bookmarkEnd w:id="147"/>
      <w:bookmarkEnd w:id="148"/>
      <w:bookmarkEnd w:id="149"/>
      <w:bookmarkEnd w:id="150"/>
      <w:bookmarkEnd w:id="151"/>
      <w:bookmarkEnd w:id="152"/>
      <w:bookmarkEnd w:id="157"/>
      <w:r>
        <w:rPr>
          <w:rFonts w:hint="default" w:ascii="Times New Roman" w:hAnsi="Times New Roman" w:eastAsia="仿宋" w:cs="Times New Roman"/>
          <w:color w:val="auto"/>
          <w:sz w:val="28"/>
          <w:szCs w:val="28"/>
        </w:rPr>
        <w:tab/>
      </w:r>
    </w:p>
    <w:p>
      <w:pPr>
        <w:pStyle w:val="4"/>
        <w:rPr>
          <w:rFonts w:ascii="Times New Roman" w:hAnsi="Times New Roman"/>
          <w:color w:val="auto"/>
        </w:rPr>
      </w:pPr>
      <w:bookmarkStart w:id="158" w:name="_Toc2218"/>
      <w:bookmarkStart w:id="159" w:name="_Toc25659"/>
      <w:bookmarkStart w:id="160" w:name="_Toc212"/>
      <w:bookmarkStart w:id="161" w:name="_Toc78236606"/>
      <w:bookmarkStart w:id="162" w:name="_Toc32291"/>
      <w:bookmarkStart w:id="163" w:name="_Toc1483"/>
      <w:bookmarkStart w:id="164" w:name="_Toc25117"/>
      <w:bookmarkStart w:id="165" w:name="_Toc7008_WPSOffice_Level2"/>
      <w:bookmarkStart w:id="166" w:name="_Toc21318_WPSOffice_Level2"/>
      <w:r>
        <w:rPr>
          <w:rFonts w:ascii="Times New Roman" w:hAnsi="Times New Roman"/>
          <w:color w:val="auto"/>
        </w:rPr>
        <w:t>3.3.1</w:t>
      </w:r>
      <w:bookmarkEnd w:id="158"/>
      <w:bookmarkEnd w:id="159"/>
      <w:r>
        <w:rPr>
          <w:rFonts w:ascii="Times New Roman" w:hAnsi="Times New Roman"/>
          <w:color w:val="auto"/>
        </w:rPr>
        <w:t>风险物质的</w:t>
      </w:r>
      <w:r>
        <w:rPr>
          <w:rFonts w:hint="eastAsia" w:ascii="Times New Roman" w:hAnsi="Times New Roman"/>
          <w:color w:val="auto"/>
          <w:lang w:val="en-US" w:eastAsia="zh-CN"/>
        </w:rPr>
        <w:t>储存</w:t>
      </w:r>
      <w:r>
        <w:rPr>
          <w:rFonts w:ascii="Times New Roman" w:hAnsi="Times New Roman"/>
          <w:color w:val="auto"/>
        </w:rPr>
        <w:t>情况</w:t>
      </w:r>
      <w:bookmarkEnd w:id="160"/>
      <w:bookmarkEnd w:id="161"/>
      <w:bookmarkEnd w:id="162"/>
      <w:bookmarkEnd w:id="163"/>
      <w:bookmarkEnd w:id="164"/>
    </w:p>
    <w:p>
      <w:pPr>
        <w:widowControl/>
        <w:wordWrap w:val="0"/>
        <w:ind w:firstLine="560"/>
        <w:rPr>
          <w:rFonts w:hint="eastAsia" w:ascii="仿宋" w:hAnsi="仿宋" w:eastAsia="仿宋" w:cs="仿宋"/>
          <w:color w:val="auto"/>
          <w:sz w:val="28"/>
          <w:szCs w:val="28"/>
        </w:rPr>
      </w:pPr>
      <w:r>
        <w:rPr>
          <w:rFonts w:hint="eastAsia" w:ascii="仿宋" w:hAnsi="仿宋" w:eastAsia="仿宋" w:cs="仿宋"/>
          <w:color w:val="auto"/>
          <w:sz w:val="28"/>
          <w:szCs w:val="28"/>
        </w:rPr>
        <w:t>公司涉及的主要风险物质见</w:t>
      </w:r>
      <w:r>
        <w:rPr>
          <w:rFonts w:hint="eastAsia" w:ascii="仿宋" w:hAnsi="仿宋" w:eastAsia="仿宋" w:cs="仿宋"/>
          <w:color w:val="auto"/>
          <w:sz w:val="28"/>
          <w:szCs w:val="28"/>
          <w:lang w:val="en-US" w:eastAsia="zh-CN"/>
        </w:rPr>
        <w:t>下</w:t>
      </w:r>
      <w:r>
        <w:rPr>
          <w:rFonts w:hint="eastAsia" w:ascii="仿宋" w:hAnsi="仿宋" w:eastAsia="仿宋" w:cs="仿宋"/>
          <w:color w:val="auto"/>
          <w:sz w:val="28"/>
          <w:szCs w:val="28"/>
        </w:rPr>
        <w:t>表。</w:t>
      </w:r>
    </w:p>
    <w:p>
      <w:pPr>
        <w:widowControl/>
        <w:ind w:firstLine="0" w:firstLineChars="0"/>
        <w:jc w:val="center"/>
        <w:rPr>
          <w:rFonts w:hint="eastAsia" w:ascii="仿宋" w:hAnsi="仿宋" w:eastAsia="仿宋" w:cs="仿宋"/>
          <w:color w:val="auto"/>
          <w:sz w:val="10"/>
          <w:szCs w:val="10"/>
        </w:rPr>
      </w:pPr>
      <w:r>
        <w:rPr>
          <w:rFonts w:hint="eastAsia" w:ascii="仿宋" w:hAnsi="仿宋" w:eastAsia="仿宋" w:cs="仿宋"/>
          <w:b/>
          <w:bCs/>
          <w:color w:val="auto"/>
          <w:sz w:val="24"/>
        </w:rPr>
        <w:t>表3.3-1环境风险物质储存情况</w:t>
      </w:r>
    </w:p>
    <w:tbl>
      <w:tblPr>
        <w:tblStyle w:val="16"/>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26"/>
        <w:gridCol w:w="2073"/>
        <w:gridCol w:w="1650"/>
        <w:gridCol w:w="1740"/>
        <w:gridCol w:w="233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26"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序号</w:t>
            </w:r>
          </w:p>
        </w:tc>
        <w:tc>
          <w:tcPr>
            <w:tcW w:w="1216"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物质名称</w:t>
            </w:r>
          </w:p>
        </w:tc>
        <w:tc>
          <w:tcPr>
            <w:tcW w:w="968"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最大存储量t</w:t>
            </w:r>
          </w:p>
        </w:tc>
        <w:tc>
          <w:tcPr>
            <w:tcW w:w="1021"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来源</w:t>
            </w:r>
          </w:p>
        </w:tc>
        <w:tc>
          <w:tcPr>
            <w:tcW w:w="1367"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储存方式及位置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67" w:hRule="atLeast"/>
        </w:trPr>
        <w:tc>
          <w:tcPr>
            <w:tcW w:w="426" w:type="pct"/>
            <w:noWrap w:val="0"/>
            <w:vAlign w:val="center"/>
          </w:tcPr>
          <w:p>
            <w:pPr>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w:t>
            </w:r>
          </w:p>
        </w:tc>
        <w:tc>
          <w:tcPr>
            <w:tcW w:w="1216" w:type="pct"/>
            <w:noWrap w:val="0"/>
            <w:vAlign w:val="center"/>
          </w:tcPr>
          <w:p>
            <w:pPr>
              <w:jc w:val="center"/>
              <w:rPr>
                <w:rFonts w:hint="default" w:ascii="Times New Roman" w:hAnsi="Times New Roman" w:eastAsia="仿宋" w:cs="Times New Roman"/>
                <w:color w:val="auto"/>
                <w:kern w:val="2"/>
                <w:sz w:val="24"/>
                <w:szCs w:val="24"/>
                <w:highlight w:val="none"/>
                <w:lang w:val="en-US" w:eastAsia="zh-CN" w:bidi="ar-SA"/>
              </w:rPr>
            </w:pPr>
            <w:r>
              <w:rPr>
                <w:rFonts w:hint="eastAsia" w:ascii="Times New Roman" w:hAnsi="Times New Roman" w:eastAsia="仿宋" w:cs="Times New Roman"/>
                <w:color w:val="auto"/>
                <w:kern w:val="2"/>
                <w:sz w:val="24"/>
                <w:szCs w:val="24"/>
                <w:highlight w:val="none"/>
                <w:lang w:val="en-US" w:eastAsia="zh-CN" w:bidi="ar-SA"/>
              </w:rPr>
              <w:t>丙烷</w:t>
            </w:r>
          </w:p>
        </w:tc>
        <w:tc>
          <w:tcPr>
            <w:tcW w:w="968" w:type="pct"/>
            <w:noWrap w:val="0"/>
            <w:vAlign w:val="center"/>
          </w:tcPr>
          <w:p>
            <w:pPr>
              <w:adjustRightInd w:val="0"/>
              <w:snapToGrid w:val="0"/>
              <w:jc w:val="center"/>
              <w:rPr>
                <w:rFonts w:hint="default" w:ascii="Times New Roman" w:hAnsi="Times New Roman" w:eastAsia="仿宋" w:cs="Times New Roman"/>
                <w:bCs/>
                <w:color w:val="auto"/>
                <w:kern w:val="2"/>
                <w:sz w:val="24"/>
                <w:szCs w:val="24"/>
                <w:highlight w:val="none"/>
                <w:lang w:val="en-US" w:eastAsia="zh-CN" w:bidi="ar-SA"/>
              </w:rPr>
            </w:pPr>
            <w:r>
              <w:rPr>
                <w:rFonts w:hint="eastAsia" w:ascii="Times New Roman" w:hAnsi="Times New Roman" w:eastAsia="仿宋" w:cs="Times New Roman"/>
                <w:bCs/>
                <w:color w:val="auto"/>
                <w:kern w:val="2"/>
                <w:sz w:val="24"/>
                <w:szCs w:val="24"/>
                <w:highlight w:val="none"/>
                <w:lang w:val="en-US" w:eastAsia="zh-CN" w:bidi="ar-SA"/>
              </w:rPr>
              <w:t>1.05</w:t>
            </w:r>
          </w:p>
        </w:tc>
        <w:tc>
          <w:tcPr>
            <w:tcW w:w="1021" w:type="pct"/>
            <w:noWrap w:val="0"/>
            <w:vAlign w:val="center"/>
          </w:tcPr>
          <w:p>
            <w:pPr>
              <w:jc w:val="center"/>
              <w:rPr>
                <w:rFonts w:hint="default" w:ascii="仿宋" w:hAnsi="仿宋" w:eastAsia="仿宋" w:cs="仿宋"/>
                <w:color w:val="auto"/>
                <w:kern w:val="2"/>
                <w:sz w:val="24"/>
                <w:szCs w:val="24"/>
                <w:highlight w:val="none"/>
                <w:lang w:val="en-US" w:eastAsia="zh-CN" w:bidi="ar-SA"/>
              </w:rPr>
            </w:pPr>
            <w:r>
              <w:rPr>
                <w:rFonts w:hint="eastAsia" w:ascii="Times New Roman" w:hAnsi="Times New Roman" w:eastAsia="仿宋" w:cs="Times New Roman"/>
                <w:color w:val="auto"/>
                <w:sz w:val="24"/>
                <w:szCs w:val="24"/>
                <w:highlight w:val="none"/>
                <w:lang w:val="en-US" w:eastAsia="zh-CN"/>
              </w:rPr>
              <w:t>外购</w:t>
            </w:r>
          </w:p>
        </w:tc>
        <w:tc>
          <w:tcPr>
            <w:tcW w:w="1367" w:type="pct"/>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单独专用库房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67" w:hRule="atLeast"/>
        </w:trPr>
        <w:tc>
          <w:tcPr>
            <w:tcW w:w="426" w:type="pct"/>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c>
          <w:tcPr>
            <w:tcW w:w="1216" w:type="pct"/>
            <w:noWrap w:val="0"/>
            <w:vAlign w:val="center"/>
          </w:tcPr>
          <w:p>
            <w:pPr>
              <w:jc w:val="center"/>
              <w:rPr>
                <w:rFonts w:hint="eastAsia" w:ascii="Times New Roman" w:hAnsi="Times New Roman" w:eastAsia="仿宋" w:cs="Times New Roman"/>
                <w:color w:val="auto"/>
                <w:kern w:val="2"/>
                <w:sz w:val="24"/>
                <w:szCs w:val="24"/>
                <w:highlight w:val="none"/>
                <w:lang w:val="en-US" w:eastAsia="zh-CN" w:bidi="ar-SA"/>
              </w:rPr>
            </w:pPr>
            <w:r>
              <w:rPr>
                <w:rFonts w:hint="eastAsia" w:ascii="Times New Roman" w:hAnsi="Times New Roman" w:eastAsia="仿宋" w:cs="Times New Roman"/>
                <w:color w:val="auto"/>
                <w:kern w:val="2"/>
                <w:sz w:val="24"/>
                <w:szCs w:val="24"/>
                <w:highlight w:val="none"/>
                <w:lang w:val="en-US" w:eastAsia="zh-CN" w:bidi="ar-SA"/>
              </w:rPr>
              <w:t>废机油、废润滑油、废乳化液</w:t>
            </w:r>
          </w:p>
        </w:tc>
        <w:tc>
          <w:tcPr>
            <w:tcW w:w="968" w:type="pct"/>
            <w:noWrap w:val="0"/>
            <w:vAlign w:val="center"/>
          </w:tcPr>
          <w:p>
            <w:pPr>
              <w:adjustRightInd w:val="0"/>
              <w:snapToGrid w:val="0"/>
              <w:jc w:val="center"/>
              <w:rPr>
                <w:rFonts w:hint="eastAsia" w:ascii="Times New Roman" w:hAnsi="Times New Roman" w:eastAsia="仿宋" w:cs="Times New Roman"/>
                <w:bCs/>
                <w:color w:val="auto"/>
                <w:kern w:val="2"/>
                <w:sz w:val="24"/>
                <w:szCs w:val="24"/>
                <w:highlight w:val="none"/>
                <w:lang w:val="en-US" w:eastAsia="zh-CN" w:bidi="ar-SA"/>
              </w:rPr>
            </w:pPr>
            <w:r>
              <w:rPr>
                <w:rFonts w:hint="eastAsia" w:ascii="Times New Roman" w:hAnsi="Times New Roman" w:eastAsia="仿宋" w:cs="Times New Roman"/>
                <w:bCs/>
                <w:color w:val="auto"/>
                <w:kern w:val="2"/>
                <w:sz w:val="24"/>
                <w:szCs w:val="24"/>
                <w:highlight w:val="none"/>
                <w:lang w:val="en-US" w:eastAsia="zh-CN" w:bidi="ar-SA"/>
              </w:rPr>
              <w:t>0.75</w:t>
            </w:r>
          </w:p>
        </w:tc>
        <w:tc>
          <w:tcPr>
            <w:tcW w:w="1021" w:type="pct"/>
            <w:noWrap w:val="0"/>
            <w:vAlign w:val="center"/>
          </w:tcPr>
          <w:p>
            <w:pPr>
              <w:jc w:val="center"/>
              <w:rPr>
                <w:rFonts w:hint="eastAsia" w:ascii="仿宋" w:hAnsi="仿宋" w:eastAsia="仿宋" w:cs="仿宋"/>
                <w:color w:val="auto"/>
                <w:kern w:val="2"/>
                <w:sz w:val="24"/>
                <w:szCs w:val="24"/>
                <w:highlight w:val="none"/>
                <w:lang w:val="en-US" w:eastAsia="zh-CN" w:bidi="ar-SA"/>
              </w:rPr>
            </w:pPr>
            <w:r>
              <w:rPr>
                <w:rFonts w:hint="eastAsia" w:ascii="Times New Roman" w:hAnsi="Times New Roman" w:eastAsia="仿宋" w:cs="Times New Roman"/>
                <w:color w:val="auto"/>
                <w:sz w:val="24"/>
                <w:szCs w:val="24"/>
                <w:highlight w:val="none"/>
                <w:lang w:val="en-US" w:eastAsia="zh-CN"/>
              </w:rPr>
              <w:t>设备维护检修</w:t>
            </w:r>
          </w:p>
        </w:tc>
        <w:tc>
          <w:tcPr>
            <w:tcW w:w="1367" w:type="pct"/>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危废暂存间</w:t>
            </w:r>
          </w:p>
        </w:tc>
      </w:tr>
    </w:tbl>
    <w:p>
      <w:pPr>
        <w:keepNext w:val="0"/>
        <w:keepLines w:val="0"/>
        <w:pageBreakBefore w:val="0"/>
        <w:widowControl w:val="0"/>
        <w:kinsoku/>
        <w:wordWrap/>
        <w:overflowPunct/>
        <w:topLinePunct w:val="0"/>
        <w:autoSpaceDE/>
        <w:autoSpaceDN/>
        <w:bidi w:val="0"/>
        <w:adjustRightInd w:val="0"/>
        <w:snapToGrid w:val="0"/>
        <w:spacing w:before="157" w:beforeLines="50" w:line="360" w:lineRule="auto"/>
        <w:ind w:left="0" w:leftChars="0" w:firstLine="0" w:firstLineChars="0"/>
        <w:jc w:val="both"/>
        <w:textAlignment w:val="auto"/>
        <w:rPr>
          <w:rFonts w:hint="default" w:ascii="Times New Roman" w:hAnsi="Times New Roman" w:eastAsia="仿宋" w:cs="Times New Roman"/>
          <w:b/>
          <w:color w:val="auto"/>
          <w:sz w:val="24"/>
        </w:rPr>
      </w:pPr>
    </w:p>
    <w:p>
      <w:pPr>
        <w:keepNext w:val="0"/>
        <w:keepLines w:val="0"/>
        <w:pageBreakBefore w:val="0"/>
        <w:widowControl w:val="0"/>
        <w:kinsoku/>
        <w:wordWrap/>
        <w:overflowPunct/>
        <w:topLinePunct w:val="0"/>
        <w:autoSpaceDE/>
        <w:autoSpaceDN/>
        <w:bidi w:val="0"/>
        <w:adjustRightInd w:val="0"/>
        <w:snapToGrid w:val="0"/>
        <w:spacing w:before="157" w:beforeLines="50" w:line="360" w:lineRule="auto"/>
        <w:jc w:val="center"/>
        <w:textAlignment w:val="auto"/>
        <w:rPr>
          <w:rFonts w:hint="default" w:ascii="Times New Roman" w:hAnsi="Times New Roman" w:eastAsia="仿宋" w:cs="Times New Roman"/>
          <w:b/>
          <w:color w:val="auto"/>
          <w:sz w:val="24"/>
        </w:rPr>
      </w:pPr>
    </w:p>
    <w:p>
      <w:pPr>
        <w:keepNext w:val="0"/>
        <w:keepLines w:val="0"/>
        <w:pageBreakBefore w:val="0"/>
        <w:widowControl w:val="0"/>
        <w:kinsoku/>
        <w:wordWrap/>
        <w:overflowPunct/>
        <w:topLinePunct w:val="0"/>
        <w:autoSpaceDE/>
        <w:autoSpaceDN/>
        <w:bidi w:val="0"/>
        <w:adjustRightInd w:val="0"/>
        <w:snapToGrid w:val="0"/>
        <w:spacing w:before="157" w:beforeLines="50" w:line="360" w:lineRule="auto"/>
        <w:jc w:val="center"/>
        <w:textAlignment w:val="auto"/>
        <w:rPr>
          <w:rFonts w:hint="default" w:ascii="Times New Roman" w:hAnsi="Times New Roman" w:eastAsia="仿宋" w:cs="Times New Roman"/>
          <w:b/>
          <w:color w:val="auto"/>
          <w:sz w:val="24"/>
        </w:rPr>
      </w:pPr>
      <w:r>
        <w:rPr>
          <w:rFonts w:hint="default" w:ascii="Times New Roman" w:hAnsi="Times New Roman" w:eastAsia="仿宋" w:cs="Times New Roman"/>
          <w:b/>
          <w:color w:val="auto"/>
          <w:sz w:val="24"/>
        </w:rPr>
        <w:t>表3.3-</w:t>
      </w:r>
      <w:r>
        <w:rPr>
          <w:rFonts w:hint="eastAsia" w:ascii="Times New Roman" w:hAnsi="Times New Roman" w:eastAsia="仿宋" w:cs="Times New Roman"/>
          <w:b/>
          <w:color w:val="auto"/>
          <w:sz w:val="24"/>
          <w:lang w:val="en-US" w:eastAsia="zh-CN"/>
        </w:rPr>
        <w:t>2润滑油</w:t>
      </w:r>
      <w:r>
        <w:rPr>
          <w:rFonts w:hint="default" w:ascii="Times New Roman" w:hAnsi="Times New Roman" w:eastAsia="仿宋" w:cs="Times New Roman"/>
          <w:b/>
          <w:color w:val="auto"/>
          <w:sz w:val="24"/>
        </w:rPr>
        <w:t>理化性质及危险特性</w:t>
      </w:r>
    </w:p>
    <w:tbl>
      <w:tblPr>
        <w:tblStyle w:val="16"/>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551"/>
        <w:gridCol w:w="987"/>
        <w:gridCol w:w="1170"/>
        <w:gridCol w:w="1376"/>
        <w:gridCol w:w="123"/>
        <w:gridCol w:w="1062"/>
        <w:gridCol w:w="1817"/>
        <w:gridCol w:w="79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b/>
                <w:bCs/>
                <w:color w:val="auto"/>
                <w:kern w:val="0"/>
                <w:sz w:val="21"/>
                <w:szCs w:val="21"/>
                <w:lang w:val="en-US" w:eastAsia="zh-CN"/>
              </w:rPr>
            </w:pPr>
            <w:r>
              <w:rPr>
                <w:rFonts w:hint="default" w:ascii="Times New Roman" w:hAnsi="Times New Roman" w:eastAsia="仿宋" w:cs="Times New Roman"/>
                <w:b/>
                <w:bCs/>
                <w:color w:val="auto"/>
                <w:kern w:val="0"/>
                <w:sz w:val="21"/>
                <w:szCs w:val="21"/>
                <w:lang w:val="en-US" w:eastAsia="zh-CN"/>
              </w:rPr>
              <w:t>标识</w:t>
            </w:r>
          </w:p>
        </w:tc>
        <w:tc>
          <w:tcPr>
            <w:tcW w:w="2470" w:type="pct"/>
            <w:gridSpan w:val="5"/>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b/>
                <w:bCs/>
                <w:color w:val="auto"/>
                <w:kern w:val="0"/>
                <w:sz w:val="21"/>
                <w:szCs w:val="21"/>
                <w:lang w:val="en-US" w:eastAsia="zh-CN"/>
              </w:rPr>
            </w:pPr>
            <w:r>
              <w:rPr>
                <w:rFonts w:hint="default" w:ascii="Times New Roman" w:hAnsi="Times New Roman" w:eastAsia="仿宋" w:cs="Times New Roman"/>
                <w:b/>
                <w:bCs/>
                <w:color w:val="auto"/>
                <w:kern w:val="0"/>
                <w:sz w:val="21"/>
                <w:szCs w:val="21"/>
                <w:lang w:val="en-US" w:eastAsia="zh-CN"/>
              </w:rPr>
              <w:t>中文名：</w:t>
            </w:r>
            <w:r>
              <w:rPr>
                <w:rFonts w:hint="eastAsia" w:ascii="Times New Roman" w:hAnsi="Times New Roman" w:eastAsia="仿宋" w:cs="Times New Roman"/>
                <w:b/>
                <w:bCs/>
                <w:color w:val="auto"/>
                <w:kern w:val="0"/>
                <w:sz w:val="21"/>
                <w:szCs w:val="21"/>
                <w:lang w:val="en-US" w:eastAsia="zh-CN"/>
              </w:rPr>
              <w:t>润滑油</w:t>
            </w:r>
          </w:p>
        </w:tc>
        <w:tc>
          <w:tcPr>
            <w:tcW w:w="2156" w:type="pct"/>
            <w:gridSpan w:val="3"/>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b/>
                <w:bCs/>
                <w:color w:val="auto"/>
                <w:kern w:val="0"/>
                <w:sz w:val="21"/>
                <w:szCs w:val="21"/>
                <w:lang w:val="en-US" w:eastAsia="zh-CN"/>
              </w:rPr>
            </w:pPr>
            <w:r>
              <w:rPr>
                <w:rFonts w:hint="default" w:ascii="Times New Roman" w:hAnsi="Times New Roman" w:eastAsia="仿宋" w:cs="Times New Roman"/>
                <w:b/>
                <w:bCs/>
                <w:color w:val="auto"/>
                <w:kern w:val="0"/>
                <w:sz w:val="21"/>
                <w:szCs w:val="21"/>
                <w:lang w:val="en-US" w:eastAsia="zh-CN"/>
              </w:rPr>
              <w:t>英文名</w:t>
            </w:r>
            <w:r>
              <w:rPr>
                <w:rFonts w:hint="default" w:ascii="Times New Roman" w:hAnsi="Times New Roman" w:eastAsia="仿宋" w:cs="Times New Roman"/>
                <w:b/>
                <w:bCs/>
                <w:color w:val="auto"/>
                <w:kern w:val="0"/>
                <w:sz w:val="21"/>
                <w:szCs w:val="21"/>
                <w:lang w:val="en-GB" w:eastAsia="zh-CN"/>
              </w:rPr>
              <w:t>：</w:t>
            </w:r>
            <w:r>
              <w:rPr>
                <w:rFonts w:hint="default" w:ascii="Times New Roman" w:hAnsi="Times New Roman" w:eastAsia="仿宋" w:cs="Times New Roman"/>
                <w:b/>
                <w:bCs/>
                <w:color w:val="auto"/>
                <w:kern w:val="0"/>
                <w:sz w:val="21"/>
                <w:szCs w:val="21"/>
                <w:lang w:val="en-US" w:eastAsia="zh-CN"/>
              </w:rPr>
              <w:t>lubricating</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restart"/>
            <w:tcBorders>
              <w:tl2br w:val="nil"/>
              <w:tr2bl w:val="nil"/>
            </w:tcBorders>
            <w:noWrap w:val="0"/>
            <w:vAlign w:val="center"/>
          </w:tcPr>
          <w:p>
            <w:pPr>
              <w:autoSpaceDE w:val="0"/>
              <w:autoSpaceDN w:val="0"/>
              <w:adjustRightInd w:val="0"/>
              <w:spacing w:line="240" w:lineRule="auto"/>
              <w:ind w:left="0" w:leftChars="0"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理化性质</w:t>
            </w: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外观与性状</w:t>
            </w:r>
          </w:p>
        </w:tc>
        <w:tc>
          <w:tcPr>
            <w:tcW w:w="1565" w:type="pct"/>
            <w:gridSpan w:val="3"/>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淡黄色粘稠液体</w:t>
            </w:r>
          </w:p>
        </w:tc>
        <w:tc>
          <w:tcPr>
            <w:tcW w:w="623"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闪点（℃）</w:t>
            </w:r>
          </w:p>
        </w:tc>
        <w:tc>
          <w:tcPr>
            <w:tcW w:w="1532"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120~340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自燃点（℃）</w:t>
            </w:r>
          </w:p>
        </w:tc>
        <w:tc>
          <w:tcPr>
            <w:tcW w:w="686"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300~350</w:t>
            </w:r>
          </w:p>
        </w:tc>
        <w:tc>
          <w:tcPr>
            <w:tcW w:w="879"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相对密度(水=1)</w:t>
            </w:r>
          </w:p>
        </w:tc>
        <w:tc>
          <w:tcPr>
            <w:tcW w:w="623"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934.8</w:t>
            </w:r>
          </w:p>
        </w:tc>
        <w:tc>
          <w:tcPr>
            <w:tcW w:w="1066"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相对密度(空气=1)</w:t>
            </w:r>
          </w:p>
        </w:tc>
        <w:tc>
          <w:tcPr>
            <w:tcW w:w="465"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0.85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沸点（℃）</w:t>
            </w:r>
          </w:p>
        </w:tc>
        <w:tc>
          <w:tcPr>
            <w:tcW w:w="686"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-252.8</w:t>
            </w:r>
          </w:p>
        </w:tc>
        <w:tc>
          <w:tcPr>
            <w:tcW w:w="1502" w:type="pct"/>
            <w:gridSpan w:val="3"/>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饱和蒸气压（kPa）</w:t>
            </w:r>
          </w:p>
        </w:tc>
        <w:tc>
          <w:tcPr>
            <w:tcW w:w="1532"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0.13/145.8℃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溶解性</w:t>
            </w:r>
          </w:p>
        </w:tc>
        <w:tc>
          <w:tcPr>
            <w:tcW w:w="3721" w:type="pct"/>
            <w:gridSpan w:val="6"/>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溶于苯、乙醇、乙醚、氯仿、丙酮等多数有机溶剂。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restart"/>
            <w:tcBorders>
              <w:tl2br w:val="nil"/>
              <w:tr2bl w:val="nil"/>
            </w:tcBorders>
            <w:noWrap w:val="0"/>
            <w:vAlign w:val="center"/>
          </w:tcPr>
          <w:p>
            <w:pPr>
              <w:autoSpaceDE w:val="0"/>
              <w:autoSpaceDN w:val="0"/>
              <w:adjustRightInd w:val="0"/>
              <w:spacing w:line="240" w:lineRule="auto"/>
              <w:ind w:left="0" w:leftChars="0"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燃烧爆炸危险</w:t>
            </w: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危险特性</w:t>
            </w:r>
          </w:p>
        </w:tc>
        <w:tc>
          <w:tcPr>
            <w:tcW w:w="1494" w:type="pct"/>
            <w:gridSpan w:val="2"/>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可燃液体，火灾危险性为丙B类；遇明火、高热可燃</w:t>
            </w:r>
          </w:p>
        </w:tc>
        <w:tc>
          <w:tcPr>
            <w:tcW w:w="69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燃烧分解产物</w:t>
            </w:r>
          </w:p>
        </w:tc>
        <w:tc>
          <w:tcPr>
            <w:tcW w:w="1532" w:type="pct"/>
            <w:gridSpan w:val="2"/>
            <w:tcBorders>
              <w:tl2br w:val="nil"/>
              <w:tr2bl w:val="nil"/>
            </w:tcBorders>
            <w:noWrap w:val="0"/>
            <w:vAlign w:val="center"/>
          </w:tcPr>
          <w:p>
            <w:pPr>
              <w:autoSpaceDE w:val="0"/>
              <w:autoSpaceDN w:val="0"/>
              <w:adjustRightInd w:val="0"/>
              <w:spacing w:line="240" w:lineRule="auto"/>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CO、CO</w:t>
            </w:r>
            <w:r>
              <w:rPr>
                <w:rFonts w:hint="default" w:ascii="Times New Roman" w:hAnsi="Times New Roman" w:eastAsia="仿宋" w:cs="Times New Roman"/>
                <w:color w:val="auto"/>
                <w:kern w:val="0"/>
                <w:sz w:val="21"/>
                <w:szCs w:val="21"/>
                <w:vertAlign w:val="subscript"/>
                <w:lang w:val="en-US" w:eastAsia="zh-CN"/>
              </w:rPr>
              <w:t>2</w:t>
            </w:r>
            <w:r>
              <w:rPr>
                <w:rFonts w:hint="default" w:ascii="Times New Roman" w:hAnsi="Times New Roman" w:eastAsia="仿宋" w:cs="Times New Roman"/>
                <w:color w:val="auto"/>
                <w:kern w:val="0"/>
                <w:sz w:val="21"/>
                <w:szCs w:val="21"/>
                <w:lang w:val="en-US" w:eastAsia="zh-CN"/>
              </w:rPr>
              <w:t>等有毒有害气体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稳定性</w:t>
            </w:r>
          </w:p>
        </w:tc>
        <w:tc>
          <w:tcPr>
            <w:tcW w:w="149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稳定</w:t>
            </w:r>
          </w:p>
        </w:tc>
        <w:tc>
          <w:tcPr>
            <w:tcW w:w="69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禁忌物</w:t>
            </w:r>
          </w:p>
        </w:tc>
        <w:tc>
          <w:tcPr>
            <w:tcW w:w="1532"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硝酸等强氧化剂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灭火方法</w:t>
            </w:r>
          </w:p>
        </w:tc>
        <w:tc>
          <w:tcPr>
            <w:tcW w:w="3721" w:type="pct"/>
            <w:gridSpan w:val="6"/>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消防人员须佩戴防毒面具、穿全身消防服，在上风向灭火。尽可能将容器从火场移至空旷处。喷水保持火场容器冷却，直至灭火结束。处在火场中的容器若已变色或从安全泄压装置中产生声音，必须立即撤离。灭火剂：雾状水、泡沫、干粉、二氧化碳、砂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697"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健康</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危害</w:t>
            </w:r>
          </w:p>
        </w:tc>
        <w:tc>
          <w:tcPr>
            <w:tcW w:w="4302"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急性吸入，可出现乏力、头晕、头痛、恶心，严重者可引起油脂性肺炎。慢接触者，暴露部位可发生油性痤疮和接触型皮炎。可引发神经衰弱综合症，呼吸道和眼刺激症状及慢性油脂性肺炎。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697"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急救</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措施</w:t>
            </w:r>
          </w:p>
        </w:tc>
        <w:tc>
          <w:tcPr>
            <w:tcW w:w="4302"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皮肤接触：脱去污染的衣着，用大量流动清水清洗。就医。眼接触：提起眼睑，用流动清水或生理盐水冲洗。就医。吸入：迅速脱离现场至空气新鲜处，保持呼吸畅通。如呼吸困难，给输氧。如呼吸停止，立即进行人工呼吸。就医。食用：饮适量温水，催吐。就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697"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防护</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处理</w:t>
            </w:r>
          </w:p>
        </w:tc>
        <w:tc>
          <w:tcPr>
            <w:tcW w:w="4302"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呼吸系统防护：空气中浓度超标时，必须佩戴自吸过滤式防毒面具（半面罩）；紧急事态抢救或撤离时，应佩戴空气呼吸器。眼睛防护：戴化学安全防护眼镜。身体防护：穿防毒渗透工作服。手防护：戴橡胶耐油手套。其他：工作现场严禁吸烟，避免长期反复接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1535" w:hRule="atLeast"/>
          <w:jc w:val="center"/>
        </w:trPr>
        <w:tc>
          <w:tcPr>
            <w:tcW w:w="697"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泄漏</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处理</w:t>
            </w:r>
          </w:p>
        </w:tc>
        <w:tc>
          <w:tcPr>
            <w:tcW w:w="4302"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迅速撤离泄漏污染区人员至安全区，并进行隔离，严格限制出入。切断火源。建议应急处理人员戴自给正式呼吸器，穿防毒服。尽可能切断泄漏源。防止流入下水道、排洪沟等限制性空间。小量泄漏：用砂土或其他不燃材料吸附或吸收，减少挥发。大量泄漏：构筑围堤或挖坑收容。用泵转移至槽车或专用收集器内，回收或运至废物处理场所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697"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储存</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要求</w:t>
            </w:r>
          </w:p>
        </w:tc>
        <w:tc>
          <w:tcPr>
            <w:tcW w:w="4302" w:type="pct"/>
            <w:gridSpan w:val="7"/>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储存于阴凉、通风的库房。远离火种、热源。应与氧化剂分开存放，切忌混储。配备相应品种和数量的消防器材。储区应备有泄漏应急处理设备和合适的收容材料。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4" w:hRule="atLeast"/>
          <w:jc w:val="center"/>
        </w:trPr>
        <w:tc>
          <w:tcPr>
            <w:tcW w:w="697"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运输</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要求</w:t>
            </w:r>
          </w:p>
        </w:tc>
        <w:tc>
          <w:tcPr>
            <w:tcW w:w="4302"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用油罐、油罐车、油船、铁桶、塑料桶等盛装，盛装时切不可装满，要留出必要的安全空间。运输前应先检查包装容器是否完整、密封，运输过程中要确保容器不泄露、不倒塌、不坠落、不损坏。严禁与氧化剂、食用化学品等混装混运。运输车船必须彻底清洗、消毒，否则不得装运其它物品。</w:t>
            </w:r>
          </w:p>
        </w:tc>
      </w:tr>
    </w:tbl>
    <w:p>
      <w:pPr>
        <w:keepNext w:val="0"/>
        <w:keepLines w:val="0"/>
        <w:pageBreakBefore w:val="0"/>
        <w:widowControl w:val="0"/>
        <w:kinsoku/>
        <w:wordWrap/>
        <w:overflowPunct/>
        <w:topLinePunct w:val="0"/>
        <w:autoSpaceDE/>
        <w:autoSpaceDN/>
        <w:bidi w:val="0"/>
        <w:adjustRightInd w:val="0"/>
        <w:snapToGrid w:val="0"/>
        <w:spacing w:before="157" w:beforeLines="50" w:line="360" w:lineRule="auto"/>
        <w:jc w:val="center"/>
        <w:textAlignment w:val="auto"/>
        <w:rPr>
          <w:rFonts w:hint="default" w:ascii="Times New Roman" w:hAnsi="Times New Roman" w:eastAsia="仿宋" w:cs="Times New Roman"/>
          <w:b/>
          <w:color w:val="auto"/>
          <w:sz w:val="24"/>
        </w:rPr>
      </w:pPr>
    </w:p>
    <w:p>
      <w:pPr>
        <w:pStyle w:val="2"/>
        <w:jc w:val="center"/>
        <w:rPr>
          <w:rFonts w:hint="default"/>
          <w:color w:val="auto"/>
        </w:rPr>
      </w:pPr>
      <w:bookmarkStart w:id="167" w:name="_Toc24579"/>
      <w:r>
        <w:rPr>
          <w:rFonts w:hint="default" w:ascii="Times New Roman" w:hAnsi="Times New Roman" w:eastAsia="仿宋" w:cs="Times New Roman"/>
          <w:b/>
          <w:color w:val="auto"/>
          <w:sz w:val="24"/>
        </w:rPr>
        <w:t>表3.3-</w:t>
      </w:r>
      <w:r>
        <w:rPr>
          <w:rFonts w:hint="eastAsia" w:ascii="Times New Roman" w:hAnsi="Times New Roman" w:eastAsia="仿宋" w:cs="Times New Roman"/>
          <w:b/>
          <w:color w:val="auto"/>
          <w:sz w:val="24"/>
          <w:lang w:val="en-US" w:eastAsia="zh-CN"/>
        </w:rPr>
        <w:t>3丙烷</w:t>
      </w:r>
      <w:r>
        <w:rPr>
          <w:rFonts w:hint="default" w:ascii="Times New Roman" w:hAnsi="Times New Roman" w:eastAsia="仿宋" w:cs="Times New Roman"/>
          <w:b/>
          <w:color w:val="auto"/>
          <w:sz w:val="24"/>
        </w:rPr>
        <w:t>理化性质及危险特性</w:t>
      </w:r>
      <w:bookmarkEnd w:id="167"/>
    </w:p>
    <w:tbl>
      <w:tblPr>
        <w:tblStyle w:val="16"/>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587"/>
        <w:gridCol w:w="1027"/>
        <w:gridCol w:w="983"/>
        <w:gridCol w:w="1413"/>
        <w:gridCol w:w="160"/>
        <w:gridCol w:w="1062"/>
        <w:gridCol w:w="1854"/>
        <w:gridCol w:w="79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b/>
                <w:bCs/>
                <w:color w:val="auto"/>
                <w:kern w:val="0"/>
                <w:sz w:val="21"/>
                <w:szCs w:val="21"/>
                <w:lang w:val="en-US" w:eastAsia="zh-CN"/>
              </w:rPr>
            </w:pPr>
            <w:r>
              <w:rPr>
                <w:rFonts w:hint="default" w:ascii="Times New Roman" w:hAnsi="Times New Roman" w:eastAsia="仿宋" w:cs="Times New Roman"/>
                <w:b/>
                <w:bCs/>
                <w:color w:val="auto"/>
                <w:kern w:val="0"/>
                <w:sz w:val="21"/>
                <w:szCs w:val="21"/>
                <w:lang w:val="en-US" w:eastAsia="zh-CN"/>
              </w:rPr>
              <w:t>标识</w:t>
            </w:r>
          </w:p>
        </w:tc>
        <w:tc>
          <w:tcPr>
            <w:tcW w:w="2448" w:type="pct"/>
            <w:gridSpan w:val="5"/>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b/>
                <w:bCs/>
                <w:color w:val="auto"/>
                <w:kern w:val="0"/>
                <w:sz w:val="21"/>
                <w:szCs w:val="21"/>
                <w:lang w:val="en-US" w:eastAsia="zh-CN"/>
              </w:rPr>
            </w:pPr>
            <w:r>
              <w:rPr>
                <w:rFonts w:hint="default" w:ascii="Times New Roman" w:hAnsi="Times New Roman" w:eastAsia="仿宋" w:cs="Times New Roman"/>
                <w:b/>
                <w:bCs/>
                <w:color w:val="auto"/>
                <w:kern w:val="0"/>
                <w:sz w:val="21"/>
                <w:szCs w:val="21"/>
                <w:lang w:val="en-US" w:eastAsia="zh-CN"/>
              </w:rPr>
              <w:t>中文名：</w:t>
            </w:r>
            <w:r>
              <w:rPr>
                <w:rFonts w:hint="eastAsia" w:ascii="Times New Roman" w:hAnsi="Times New Roman" w:eastAsia="仿宋" w:cs="Times New Roman"/>
                <w:b/>
                <w:color w:val="auto"/>
                <w:sz w:val="24"/>
                <w:lang w:val="en-US" w:eastAsia="zh-CN"/>
              </w:rPr>
              <w:t>丙烷</w:t>
            </w:r>
          </w:p>
        </w:tc>
        <w:tc>
          <w:tcPr>
            <w:tcW w:w="2177" w:type="pct"/>
            <w:gridSpan w:val="3"/>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b/>
                <w:bCs/>
                <w:color w:val="auto"/>
                <w:kern w:val="0"/>
                <w:sz w:val="21"/>
                <w:szCs w:val="21"/>
                <w:lang w:val="en-US" w:eastAsia="zh-CN"/>
              </w:rPr>
            </w:pPr>
            <w:r>
              <w:rPr>
                <w:rFonts w:hint="default" w:ascii="Times New Roman" w:hAnsi="Times New Roman" w:eastAsia="仿宋" w:cs="Times New Roman"/>
                <w:b/>
                <w:bCs/>
                <w:color w:val="auto"/>
                <w:kern w:val="0"/>
                <w:sz w:val="21"/>
                <w:szCs w:val="21"/>
                <w:lang w:val="en-US" w:eastAsia="zh-CN"/>
              </w:rPr>
              <w:t>英文名</w:t>
            </w:r>
            <w:r>
              <w:rPr>
                <w:rFonts w:hint="default" w:ascii="Times New Roman" w:hAnsi="Times New Roman" w:eastAsia="仿宋" w:cs="Times New Roman"/>
                <w:b/>
                <w:bCs/>
                <w:color w:val="auto"/>
                <w:kern w:val="0"/>
                <w:sz w:val="21"/>
                <w:szCs w:val="21"/>
                <w:lang w:val="en-GB" w:eastAsia="zh-CN"/>
              </w:rPr>
              <w:t>：</w:t>
            </w:r>
            <w:r>
              <w:rPr>
                <w:rFonts w:ascii="Times New Roman" w:hAnsi="Times New Roman" w:eastAsia="仿宋" w:cs="Times New Roman"/>
                <w:b/>
                <w:bCs/>
                <w:color w:val="auto"/>
                <w:szCs w:val="24"/>
                <w:lang w:eastAsia="zh-CN"/>
              </w:rPr>
              <w:t>propane</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restart"/>
            <w:tcBorders>
              <w:tl2br w:val="nil"/>
              <w:tr2bl w:val="nil"/>
            </w:tcBorders>
            <w:noWrap w:val="0"/>
            <w:vAlign w:val="center"/>
          </w:tcPr>
          <w:p>
            <w:pPr>
              <w:autoSpaceDE w:val="0"/>
              <w:autoSpaceDN w:val="0"/>
              <w:adjustRightInd w:val="0"/>
              <w:spacing w:line="240" w:lineRule="auto"/>
              <w:ind w:left="0" w:leftChars="0"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理化性质</w:t>
            </w: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外观与性状</w:t>
            </w:r>
          </w:p>
        </w:tc>
        <w:tc>
          <w:tcPr>
            <w:tcW w:w="1500" w:type="pct"/>
            <w:gridSpan w:val="3"/>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ascii="Times New Roman" w:hAnsi="Times New Roman" w:eastAsia="仿宋" w:cs="Times New Roman"/>
                <w:color w:val="auto"/>
                <w:szCs w:val="24"/>
                <w:lang w:eastAsia="zh-CN"/>
              </w:rPr>
              <w:t>无色气体，纯品无臭。</w:t>
            </w:r>
          </w:p>
        </w:tc>
        <w:tc>
          <w:tcPr>
            <w:tcW w:w="623"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闪点（℃）</w:t>
            </w:r>
          </w:p>
        </w:tc>
        <w:tc>
          <w:tcPr>
            <w:tcW w:w="155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eastAsia" w:ascii="Times New Roman" w:hAnsi="Times New Roman" w:eastAsia="仿宋" w:cs="Times New Roman"/>
                <w:color w:val="auto"/>
                <w:kern w:val="0"/>
                <w:sz w:val="21"/>
                <w:szCs w:val="21"/>
                <w:lang w:val="en-US" w:eastAsia="zh-CN"/>
              </w:rPr>
              <w:t>-104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自燃点（℃）</w:t>
            </w:r>
          </w:p>
        </w:tc>
        <w:tc>
          <w:tcPr>
            <w:tcW w:w="577"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eastAsia" w:ascii="Times New Roman" w:hAnsi="Times New Roman" w:eastAsia="仿宋" w:cs="Times New Roman"/>
                <w:color w:val="auto"/>
                <w:kern w:val="0"/>
                <w:sz w:val="21"/>
                <w:szCs w:val="21"/>
                <w:lang w:val="en-US" w:eastAsia="zh-CN"/>
              </w:rPr>
              <w:t>466</w:t>
            </w:r>
          </w:p>
        </w:tc>
        <w:tc>
          <w:tcPr>
            <w:tcW w:w="922" w:type="pct"/>
            <w:gridSpan w:val="2"/>
            <w:tcBorders>
              <w:tl2br w:val="nil"/>
              <w:tr2bl w:val="nil"/>
            </w:tcBorders>
            <w:noWrap w:val="0"/>
            <w:vAlign w:val="center"/>
          </w:tcPr>
          <w:p>
            <w:pPr>
              <w:autoSpaceDE w:val="0"/>
              <w:autoSpaceDN w:val="0"/>
              <w:adjustRightInd w:val="0"/>
              <w:spacing w:line="240" w:lineRule="auto"/>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相对密度</w:t>
            </w:r>
          </w:p>
          <w:p>
            <w:pPr>
              <w:autoSpaceDE w:val="0"/>
              <w:autoSpaceDN w:val="0"/>
              <w:adjustRightInd w:val="0"/>
              <w:spacing w:line="240" w:lineRule="auto"/>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(水=1)</w:t>
            </w:r>
          </w:p>
        </w:tc>
        <w:tc>
          <w:tcPr>
            <w:tcW w:w="623"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eastAsia" w:ascii="Times New Roman" w:hAnsi="Times New Roman" w:eastAsia="仿宋" w:cs="Times New Roman"/>
                <w:color w:val="auto"/>
                <w:kern w:val="0"/>
                <w:sz w:val="21"/>
                <w:szCs w:val="21"/>
                <w:lang w:val="en-US" w:eastAsia="zh-CN"/>
              </w:rPr>
              <w:t>0.58</w:t>
            </w:r>
          </w:p>
        </w:tc>
        <w:tc>
          <w:tcPr>
            <w:tcW w:w="1088"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相对密度(空气=1)</w:t>
            </w:r>
          </w:p>
        </w:tc>
        <w:tc>
          <w:tcPr>
            <w:tcW w:w="465"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eastAsia" w:ascii="Times New Roman" w:hAnsi="Times New Roman" w:eastAsia="仿宋" w:cs="Times New Roman"/>
                <w:color w:val="auto"/>
                <w:kern w:val="0"/>
                <w:sz w:val="21"/>
                <w:szCs w:val="21"/>
                <w:lang w:val="en-US" w:eastAsia="zh-CN"/>
              </w:rPr>
              <w:t>1.56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沸点（℃）</w:t>
            </w:r>
          </w:p>
        </w:tc>
        <w:tc>
          <w:tcPr>
            <w:tcW w:w="577"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w:t>
            </w:r>
            <w:r>
              <w:rPr>
                <w:rFonts w:hint="eastAsia" w:ascii="Times New Roman" w:hAnsi="Times New Roman" w:eastAsia="仿宋" w:cs="Times New Roman"/>
                <w:color w:val="auto"/>
                <w:kern w:val="0"/>
                <w:sz w:val="21"/>
                <w:szCs w:val="21"/>
                <w:lang w:val="en-US" w:eastAsia="zh-CN"/>
              </w:rPr>
              <w:t>42.1</w:t>
            </w:r>
          </w:p>
        </w:tc>
        <w:tc>
          <w:tcPr>
            <w:tcW w:w="1545" w:type="pct"/>
            <w:gridSpan w:val="3"/>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饱和蒸气压（kPa）</w:t>
            </w:r>
          </w:p>
        </w:tc>
        <w:tc>
          <w:tcPr>
            <w:tcW w:w="155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53.32/-44.5℃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溶解性</w:t>
            </w:r>
          </w:p>
        </w:tc>
        <w:tc>
          <w:tcPr>
            <w:tcW w:w="3677" w:type="pct"/>
            <w:gridSpan w:val="6"/>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微溶液于水，溶液于乙醇、乙醚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restart"/>
            <w:tcBorders>
              <w:tl2br w:val="nil"/>
              <w:tr2bl w:val="nil"/>
            </w:tcBorders>
            <w:noWrap w:val="0"/>
            <w:vAlign w:val="center"/>
          </w:tcPr>
          <w:p>
            <w:pPr>
              <w:autoSpaceDE w:val="0"/>
              <w:autoSpaceDN w:val="0"/>
              <w:adjustRightInd w:val="0"/>
              <w:spacing w:line="240" w:lineRule="auto"/>
              <w:ind w:left="0" w:leftChars="0"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燃烧爆炸危险</w:t>
            </w: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危险特性</w:t>
            </w:r>
          </w:p>
        </w:tc>
        <w:tc>
          <w:tcPr>
            <w:tcW w:w="1406" w:type="pct"/>
            <w:gridSpan w:val="2"/>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eastAsia" w:ascii="Times New Roman" w:hAnsi="Times New Roman" w:eastAsia="仿宋" w:cs="Times New Roman"/>
                <w:color w:val="auto"/>
                <w:kern w:val="0"/>
                <w:sz w:val="21"/>
                <w:szCs w:val="21"/>
                <w:lang w:val="en-US" w:eastAsia="zh-CN"/>
              </w:rPr>
              <w:t>易燃气体</w:t>
            </w:r>
            <w:r>
              <w:rPr>
                <w:rFonts w:hint="default" w:ascii="Times New Roman" w:hAnsi="Times New Roman" w:eastAsia="仿宋" w:cs="Times New Roman"/>
                <w:color w:val="auto"/>
                <w:kern w:val="0"/>
                <w:sz w:val="21"/>
                <w:szCs w:val="21"/>
                <w:lang w:val="en-US" w:eastAsia="zh-CN"/>
              </w:rPr>
              <w:t>，遇明火、高热可燃</w:t>
            </w:r>
          </w:p>
        </w:tc>
        <w:tc>
          <w:tcPr>
            <w:tcW w:w="716"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燃烧分解产物</w:t>
            </w:r>
          </w:p>
        </w:tc>
        <w:tc>
          <w:tcPr>
            <w:tcW w:w="1554" w:type="pct"/>
            <w:gridSpan w:val="2"/>
            <w:tcBorders>
              <w:tl2br w:val="nil"/>
              <w:tr2bl w:val="nil"/>
            </w:tcBorders>
            <w:noWrap w:val="0"/>
            <w:vAlign w:val="center"/>
          </w:tcPr>
          <w:p>
            <w:pPr>
              <w:autoSpaceDE w:val="0"/>
              <w:autoSpaceDN w:val="0"/>
              <w:adjustRightInd w:val="0"/>
              <w:spacing w:line="240" w:lineRule="auto"/>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CO、CO</w:t>
            </w:r>
            <w:r>
              <w:rPr>
                <w:rFonts w:hint="default" w:ascii="Times New Roman" w:hAnsi="Times New Roman" w:eastAsia="仿宋" w:cs="Times New Roman"/>
                <w:color w:val="auto"/>
                <w:kern w:val="0"/>
                <w:sz w:val="21"/>
                <w:szCs w:val="21"/>
                <w:vertAlign w:val="subscript"/>
                <w:lang w:val="en-US" w:eastAsia="zh-CN"/>
              </w:rPr>
              <w:t>2</w:t>
            </w:r>
            <w:r>
              <w:rPr>
                <w:rFonts w:hint="default" w:ascii="Times New Roman" w:hAnsi="Times New Roman" w:eastAsia="仿宋" w:cs="Times New Roman"/>
                <w:color w:val="auto"/>
                <w:kern w:val="0"/>
                <w:sz w:val="21"/>
                <w:szCs w:val="21"/>
                <w:lang w:val="en-US" w:eastAsia="zh-CN"/>
              </w:rPr>
              <w:t>等有毒有害气体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稳定性</w:t>
            </w:r>
          </w:p>
        </w:tc>
        <w:tc>
          <w:tcPr>
            <w:tcW w:w="1406"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稳定</w:t>
            </w:r>
          </w:p>
        </w:tc>
        <w:tc>
          <w:tcPr>
            <w:tcW w:w="716"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禁忌物</w:t>
            </w:r>
          </w:p>
        </w:tc>
        <w:tc>
          <w:tcPr>
            <w:tcW w:w="155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强氧化剂、卤素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灭火方法</w:t>
            </w:r>
          </w:p>
        </w:tc>
        <w:tc>
          <w:tcPr>
            <w:tcW w:w="3677" w:type="pct"/>
            <w:gridSpan w:val="6"/>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切断气源。若不能立即切断电源，则不允许熄灭正在燃烧的气体。喷水冷却容器，可能的话将容器从火场移至空旷处。雾状水、干粉、二氧化碳。如果该物质被污染的流体进入水路，通知有潜在水质污染的下游用户，通知地方卫生、消防和污染控制部门。在安全防爆距离以外，使用雾状水冷却暴露的容器。 如果容器遇明火或长时间暴露于高温下，立即撤离到安全区域。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71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健康</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危害</w:t>
            </w:r>
          </w:p>
        </w:tc>
        <w:tc>
          <w:tcPr>
            <w:tcW w:w="4281"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1％丙烷，对人体无影响；10％以下的浓度，只引起轻度头晕； 在较高浓度的丙烷、丁烷混合气体中毒时，有头痛、头晕、兴奋或嗜睡、恶心、呕吐、流涎、血压轻度降低、脉缓、神经反射减弱、无病理反射；严重者出现麻醉状态、意识丧失；有的发生继发性肺炎。液态丙烷可致皮肤冻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71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急救</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措施</w:t>
            </w:r>
          </w:p>
        </w:tc>
        <w:tc>
          <w:tcPr>
            <w:tcW w:w="4281"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脱去并隔离被污染的衣服和鞋。接触液化气体，接触部位用温水浸泡复温。吸入：迅速脱离现场至空气新鲜处。保持呼吸通畅。如呼吸困难，给输氧。如遇呼吸停止，立即进行人工呼吸，就医。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71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防护</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处理</w:t>
            </w:r>
          </w:p>
        </w:tc>
        <w:tc>
          <w:tcPr>
            <w:tcW w:w="4281"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呼吸系统防护：空气中浓度超标时，必须佩戴自吸过滤式防毒面具（半面罩）；紧急事态抢救或撤离时，应佩戴空气呼吸器。眼睛防护：戴化学安全防护眼镜。身体防护：穿防毒渗透工作服。手防护：戴橡胶耐油手套。其他：工作现场严禁吸烟，避免长期反复接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71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泄漏</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处理</w:t>
            </w:r>
          </w:p>
        </w:tc>
        <w:tc>
          <w:tcPr>
            <w:tcW w:w="4281"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迅速撤离泄漏污染区人员至安全区，并进行隔离，严格限制出入。切断火源。建议应急处理人员戴自给正式呼吸器，穿防毒服。尽可能切断泄漏源。防止流入下水道、排洪沟等限制性空间。小量泄漏：用砂土或其他不燃材料吸附或吸收，减少挥发。大量泄漏：构筑围堤或挖坑收容。用泵转移至槽车或专用收集器内，回收或运至废物处理场所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71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储存</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要求</w:t>
            </w:r>
          </w:p>
        </w:tc>
        <w:tc>
          <w:tcPr>
            <w:tcW w:w="4281"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储运条件：储存于阴凉、通风良好的仓间内。远离火种、热源。 防止阳光直射。应与氧气、压缩空气、氧化剂等分开存放。搬运时应轻装轻卸，防止钢瓶及附件损伤。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4" w:hRule="atLeast"/>
          <w:jc w:val="center"/>
        </w:trPr>
        <w:tc>
          <w:tcPr>
            <w:tcW w:w="71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运输</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要求</w:t>
            </w:r>
          </w:p>
        </w:tc>
        <w:tc>
          <w:tcPr>
            <w:tcW w:w="4281"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。运输前应先检查包装容器是否完整、密封，运输过程中要确保容器不泄露、不倒塌、不坠落、不损坏。</w:t>
            </w:r>
          </w:p>
        </w:tc>
      </w:tr>
    </w:tbl>
    <w:p>
      <w:pPr>
        <w:rPr>
          <w:rFonts w:hint="default"/>
          <w:color w:val="auto"/>
        </w:rPr>
      </w:pPr>
    </w:p>
    <w:p>
      <w:pPr>
        <w:keepNext w:val="0"/>
        <w:keepLines w:val="0"/>
        <w:pageBreakBefore w:val="0"/>
        <w:widowControl w:val="0"/>
        <w:kinsoku/>
        <w:wordWrap/>
        <w:overflowPunct/>
        <w:topLinePunct w:val="0"/>
        <w:autoSpaceDE/>
        <w:autoSpaceDN/>
        <w:bidi w:val="0"/>
        <w:adjustRightInd w:val="0"/>
        <w:snapToGrid w:val="0"/>
        <w:spacing w:before="157" w:beforeLines="50" w:line="360" w:lineRule="auto"/>
        <w:jc w:val="center"/>
        <w:textAlignment w:val="auto"/>
        <w:rPr>
          <w:rFonts w:hint="default" w:ascii="Times New Roman" w:hAnsi="Times New Roman" w:eastAsia="仿宋" w:cs="Times New Roman"/>
          <w:b/>
          <w:color w:val="auto"/>
          <w:sz w:val="24"/>
        </w:rPr>
      </w:pPr>
    </w:p>
    <w:bookmarkEnd w:id="165"/>
    <w:bookmarkEnd w:id="166"/>
    <w:p>
      <w:pPr>
        <w:pStyle w:val="2"/>
        <w:pageBreakBefore w:val="0"/>
        <w:kinsoku/>
        <w:wordWrap/>
        <w:overflowPunct/>
        <w:topLinePunct w:val="0"/>
        <w:bidi w:val="0"/>
        <w:adjustRightInd w:val="0"/>
        <w:snapToGrid w:val="0"/>
        <w:spacing w:before="0" w:after="0" w:line="360" w:lineRule="auto"/>
        <w:ind w:firstLine="562" w:firstLineChars="200"/>
        <w:textAlignment w:val="auto"/>
        <w:outlineLvl w:val="0"/>
        <w:rPr>
          <w:rFonts w:hint="default" w:ascii="Times New Roman" w:hAnsi="Times New Roman" w:eastAsia="仿宋" w:cs="Times New Roman"/>
          <w:color w:val="auto"/>
          <w:sz w:val="28"/>
          <w:szCs w:val="28"/>
        </w:rPr>
      </w:pPr>
      <w:bookmarkStart w:id="168" w:name="_Toc17732468"/>
      <w:bookmarkStart w:id="169" w:name="_Toc5245"/>
      <w:bookmarkStart w:id="170" w:name="_Toc14949_WPSOffice_Level1"/>
      <w:bookmarkStart w:id="171" w:name="_Toc6539"/>
      <w:bookmarkStart w:id="172" w:name="_Toc29339"/>
      <w:bookmarkStart w:id="173" w:name="_Toc12772"/>
      <w:bookmarkStart w:id="174" w:name="_Toc26044_WPSOffice_Level1"/>
      <w:bookmarkStart w:id="175" w:name="_Toc31134_WPSOffice_Level1"/>
      <w:bookmarkStart w:id="176" w:name="_Toc26904"/>
      <w:bookmarkStart w:id="177" w:name="_Toc12847"/>
      <w:bookmarkStart w:id="178" w:name="_Toc26737"/>
      <w:bookmarkStart w:id="179" w:name="_Toc12937_WPSOffice_Level1"/>
      <w:bookmarkStart w:id="180" w:name="_Toc19036"/>
      <w:bookmarkStart w:id="181" w:name="_Toc524645542"/>
      <w:r>
        <w:rPr>
          <w:rFonts w:hint="default" w:ascii="Times New Roman" w:hAnsi="Times New Roman" w:eastAsia="仿宋" w:cs="Times New Roman"/>
          <w:color w:val="auto"/>
          <w:sz w:val="28"/>
          <w:szCs w:val="28"/>
        </w:rPr>
        <w:t>3.4生产工艺与风险识别</w:t>
      </w:r>
      <w:bookmarkEnd w:id="168"/>
      <w:bookmarkEnd w:id="169"/>
      <w:bookmarkEnd w:id="170"/>
      <w:bookmarkEnd w:id="171"/>
      <w:bookmarkEnd w:id="172"/>
      <w:bookmarkEnd w:id="173"/>
      <w:bookmarkEnd w:id="174"/>
      <w:bookmarkEnd w:id="175"/>
      <w:bookmarkEnd w:id="176"/>
      <w:bookmarkEnd w:id="177"/>
      <w:bookmarkEnd w:id="178"/>
      <w:bookmarkEnd w:id="179"/>
    </w:p>
    <w:p>
      <w:pPr>
        <w:pStyle w:val="4"/>
        <w:bidi w:val="0"/>
        <w:outlineLvl w:val="1"/>
        <w:rPr>
          <w:rFonts w:hint="default" w:ascii="Times New Roman" w:hAnsi="Times New Roman" w:eastAsia="仿宋" w:cs="Times New Roman"/>
          <w:color w:val="auto"/>
        </w:rPr>
      </w:pPr>
      <w:bookmarkStart w:id="182" w:name="_Toc15845_WPSOffice_Level2"/>
      <w:bookmarkStart w:id="183" w:name="_Toc17932"/>
      <w:bookmarkStart w:id="184" w:name="_Toc486"/>
      <w:bookmarkStart w:id="185" w:name="_Toc11637"/>
      <w:bookmarkStart w:id="186" w:name="_Toc15387"/>
      <w:bookmarkStart w:id="187" w:name="_Toc5797_WPSOffice_Level2"/>
      <w:bookmarkStart w:id="188" w:name="_Toc6634"/>
      <w:bookmarkStart w:id="189" w:name="_Toc23661"/>
      <w:bookmarkStart w:id="190" w:name="_Toc6674"/>
      <w:r>
        <w:rPr>
          <w:rFonts w:hint="default" w:ascii="Times New Roman" w:hAnsi="Times New Roman" w:eastAsia="仿宋" w:cs="Times New Roman"/>
          <w:color w:val="auto"/>
        </w:rPr>
        <w:t>3.4.1运营期</w:t>
      </w:r>
      <w:r>
        <w:rPr>
          <w:rFonts w:hint="default" w:ascii="Times New Roman" w:hAnsi="Times New Roman" w:eastAsia="仿宋" w:cs="Times New Roman"/>
          <w:color w:val="auto"/>
          <w:lang w:val="en-US" w:eastAsia="zh-CN"/>
        </w:rPr>
        <w:t>服务流程</w:t>
      </w:r>
      <w:r>
        <w:rPr>
          <w:rFonts w:hint="default" w:ascii="Times New Roman" w:hAnsi="Times New Roman" w:eastAsia="仿宋" w:cs="Times New Roman"/>
          <w:color w:val="auto"/>
        </w:rPr>
        <w:t>及产污环节图</w:t>
      </w:r>
      <w:bookmarkEnd w:id="182"/>
      <w:bookmarkEnd w:id="183"/>
      <w:bookmarkEnd w:id="184"/>
      <w:bookmarkEnd w:id="185"/>
      <w:bookmarkEnd w:id="186"/>
      <w:bookmarkEnd w:id="187"/>
      <w:bookmarkEnd w:id="188"/>
      <w:bookmarkEnd w:id="189"/>
      <w:bookmarkEnd w:id="190"/>
      <w:bookmarkStart w:id="191" w:name="_Toc13148_WPSOffice_Level2"/>
      <w:bookmarkStart w:id="192" w:name="_Toc24027_WPSOffice_Level2"/>
    </w:p>
    <w:p>
      <w:pPr>
        <w:keepNext w:val="0"/>
        <w:keepLines w:val="0"/>
        <w:suppressLineNumbers w:val="0"/>
        <w:spacing w:before="0" w:beforeAutospacing="0" w:after="0" w:afterAutospacing="0"/>
        <w:ind w:left="0" w:right="0" w:firstLine="560" w:firstLineChars="200"/>
        <w:jc w:val="both"/>
        <w:rPr>
          <w:rFonts w:hint="eastAsia" w:eastAsia="仿宋"/>
          <w:color w:val="auto"/>
          <w:lang w:eastAsia="zh-CN"/>
        </w:rPr>
      </w:pPr>
      <w:r>
        <w:rPr>
          <w:rFonts w:hint="eastAsia" w:ascii="Times New Roman" w:hAnsi="Times New Roman" w:eastAsia="仿宋" w:cs="Times New Roman"/>
          <w:color w:val="auto"/>
          <w:sz w:val="28"/>
          <w:szCs w:val="28"/>
          <w:highlight w:val="none"/>
          <w:lang w:val="en-US" w:eastAsia="zh-CN"/>
        </w:rPr>
        <w:t>钢板型材经切割、铣边及钻孔等工序后进行焊接，焊接后进入库房代售</w:t>
      </w:r>
      <w:r>
        <w:rPr>
          <w:rFonts w:hint="default" w:ascii="Times New Roman" w:hAnsi="Times New Roman" w:eastAsia="仿宋" w:cs="Times New Roman"/>
          <w:color w:val="auto"/>
          <w:sz w:val="28"/>
          <w:szCs w:val="28"/>
          <w:highlight w:val="none"/>
        </w:rPr>
        <w:t>，</w:t>
      </w:r>
      <w:r>
        <w:rPr>
          <w:rFonts w:hint="eastAsia" w:ascii="Times New Roman" w:hAnsi="Times New Roman" w:eastAsia="仿宋" w:cs="Times New Roman"/>
          <w:color w:val="auto"/>
          <w:sz w:val="28"/>
          <w:szCs w:val="28"/>
          <w:highlight w:val="none"/>
          <w:lang w:val="en-US" w:eastAsia="zh-CN"/>
        </w:rPr>
        <w:t>生产工艺及产物环节</w:t>
      </w:r>
      <w:r>
        <w:rPr>
          <w:rFonts w:hint="default" w:ascii="Times New Roman" w:hAnsi="Times New Roman" w:eastAsia="仿宋" w:cs="Times New Roman"/>
          <w:color w:val="auto"/>
          <w:sz w:val="28"/>
          <w:szCs w:val="28"/>
          <w:highlight w:val="none"/>
        </w:rPr>
        <w:t>见</w:t>
      </w:r>
      <w:r>
        <w:rPr>
          <w:rFonts w:hint="eastAsia" w:ascii="Times New Roman" w:hAnsi="Times New Roman" w:eastAsia="仿宋" w:cs="Times New Roman"/>
          <w:color w:val="auto"/>
          <w:sz w:val="28"/>
          <w:szCs w:val="28"/>
          <w:highlight w:val="none"/>
          <w:lang w:val="en-US" w:eastAsia="zh-CN"/>
        </w:rPr>
        <w:t>下</w:t>
      </w:r>
      <w:r>
        <w:rPr>
          <w:rFonts w:hint="default" w:ascii="Times New Roman" w:hAnsi="Times New Roman" w:eastAsia="仿宋" w:cs="Times New Roman"/>
          <w:color w:val="auto"/>
          <w:sz w:val="28"/>
          <w:szCs w:val="28"/>
          <w:highlight w:val="none"/>
        </w:rPr>
        <w:t>图</w:t>
      </w:r>
      <w:r>
        <w:rPr>
          <w:rFonts w:hint="eastAsia" w:ascii="Times New Roman" w:hAnsi="Times New Roman" w:eastAsia="仿宋" w:cs="Times New Roman"/>
          <w:color w:val="auto"/>
          <w:sz w:val="28"/>
          <w:szCs w:val="28"/>
          <w:highlight w:val="none"/>
          <w:lang w:eastAsia="zh-CN"/>
        </w:rPr>
        <w:t>。</w:t>
      </w:r>
    </w:p>
    <w:p>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lang w:val="en-US" w:eastAsia="zh-CN"/>
        </w:rPr>
      </w:pPr>
      <w:r>
        <w:rPr>
          <w:color w:val="auto"/>
        </w:rPr>
        <w:drawing>
          <wp:inline distT="0" distB="0" distL="114300" distR="114300">
            <wp:extent cx="5272405" cy="1556385"/>
            <wp:effectExtent l="0" t="0" r="4445" b="5715"/>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9"/>
                    <a:stretch>
                      <a:fillRect/>
                    </a:stretch>
                  </pic:blipFill>
                  <pic:spPr>
                    <a:xfrm>
                      <a:off x="0" y="0"/>
                      <a:ext cx="5272405" cy="1556385"/>
                    </a:xfrm>
                    <a:prstGeom prst="rect">
                      <a:avLst/>
                    </a:prstGeom>
                    <a:noFill/>
                    <a:ln>
                      <a:noFill/>
                    </a:ln>
                  </pic:spPr>
                </pic:pic>
              </a:graphicData>
            </a:graphic>
          </wp:inline>
        </w:drawing>
      </w:r>
    </w:p>
    <w:p>
      <w:pPr>
        <w:pStyle w:val="14"/>
        <w:ind w:left="0" w:leftChars="0" w:firstLine="211" w:firstLineChars="100"/>
        <w:jc w:val="center"/>
        <w:rPr>
          <w:rFonts w:hint="default" w:ascii="Times New Roman" w:hAnsi="Times New Roman" w:eastAsia="宋体" w:cs="Times New Roman"/>
          <w:b/>
          <w:color w:val="auto"/>
          <w:sz w:val="21"/>
          <w:lang w:val="en-US" w:eastAsia="zh-CN"/>
        </w:rPr>
      </w:pPr>
    </w:p>
    <w:p>
      <w:pPr>
        <w:jc w:val="center"/>
        <w:rPr>
          <w:rFonts w:hint="default"/>
          <w:color w:val="auto"/>
          <w:lang w:val="en-US" w:eastAsia="zh-CN"/>
        </w:rPr>
      </w:pPr>
      <w:r>
        <w:rPr>
          <w:rFonts w:hint="default" w:ascii="Times New Roman" w:hAnsi="Times New Roman" w:eastAsia="宋体" w:cs="Times New Roman"/>
          <w:b/>
          <w:color w:val="auto"/>
          <w:sz w:val="21"/>
          <w:lang w:val="en-US" w:eastAsia="zh-CN"/>
        </w:rPr>
        <w:t>图</w:t>
      </w:r>
      <w:r>
        <w:rPr>
          <w:rFonts w:hint="eastAsia" w:ascii="Times New Roman" w:hAnsi="Times New Roman" w:eastAsia="宋体" w:cs="Times New Roman"/>
          <w:b/>
          <w:color w:val="auto"/>
          <w:sz w:val="21"/>
          <w:lang w:val="en-US" w:eastAsia="zh-CN"/>
        </w:rPr>
        <w:t>3.4.1-</w:t>
      </w:r>
      <w:r>
        <w:rPr>
          <w:rFonts w:hint="eastAsia" w:ascii="Times New Roman" w:hAnsi="Times New Roman" w:cs="Times New Roman"/>
          <w:b/>
          <w:color w:val="auto"/>
          <w:sz w:val="21"/>
          <w:lang w:val="en-US" w:eastAsia="zh-CN"/>
        </w:rPr>
        <w:t xml:space="preserve">1  </w:t>
      </w:r>
      <w:r>
        <w:rPr>
          <w:rFonts w:hint="eastAsia" w:ascii="Times New Roman" w:hAnsi="Times New Roman" w:cs="Times New Roman"/>
          <w:b/>
          <w:bCs/>
          <w:color w:val="auto"/>
          <w:sz w:val="21"/>
          <w:szCs w:val="21"/>
          <w:highlight w:val="none"/>
          <w:lang w:val="en-US" w:eastAsia="zh-CN"/>
        </w:rPr>
        <w:t>项目生产</w:t>
      </w:r>
      <w:r>
        <w:rPr>
          <w:rFonts w:hint="default" w:ascii="Times New Roman" w:hAnsi="Times New Roman" w:eastAsia="宋体" w:cs="Times New Roman"/>
          <w:b/>
          <w:color w:val="auto"/>
          <w:sz w:val="21"/>
          <w:szCs w:val="21"/>
          <w:highlight w:val="none"/>
        </w:rPr>
        <w:t>工艺流程</w:t>
      </w:r>
      <w:r>
        <w:rPr>
          <w:rFonts w:hint="default" w:ascii="Times New Roman" w:hAnsi="Times New Roman" w:eastAsia="宋体" w:cs="Times New Roman"/>
          <w:b/>
          <w:color w:val="auto"/>
          <w:sz w:val="21"/>
          <w:szCs w:val="21"/>
          <w:highlight w:val="none"/>
          <w:lang w:val="en-US" w:eastAsia="zh-CN"/>
        </w:rPr>
        <w:t>及产污环节</w:t>
      </w:r>
      <w:r>
        <w:rPr>
          <w:rFonts w:hint="default" w:ascii="Times New Roman" w:hAnsi="Times New Roman" w:eastAsia="宋体" w:cs="Times New Roman"/>
          <w:b/>
          <w:color w:val="auto"/>
          <w:sz w:val="21"/>
          <w:szCs w:val="21"/>
          <w:highlight w:val="none"/>
        </w:rPr>
        <w:t>图</w:t>
      </w:r>
    </w:p>
    <w:p>
      <w:pPr>
        <w:pStyle w:val="4"/>
        <w:bidi w:val="0"/>
        <w:ind w:left="0" w:leftChars="0" w:firstLine="843" w:firstLineChars="300"/>
        <w:outlineLvl w:val="1"/>
        <w:rPr>
          <w:rFonts w:hint="default" w:ascii="Times New Roman" w:hAnsi="Times New Roman" w:eastAsia="仿宋" w:cs="Times New Roman"/>
          <w:color w:val="auto"/>
        </w:rPr>
      </w:pPr>
      <w:bookmarkStart w:id="193" w:name="_Toc28697"/>
      <w:bookmarkStart w:id="194" w:name="_Toc16895"/>
      <w:bookmarkStart w:id="195" w:name="_Toc9412"/>
      <w:bookmarkStart w:id="196" w:name="_Toc27295"/>
      <w:bookmarkStart w:id="197" w:name="_Toc12763"/>
      <w:bookmarkStart w:id="198" w:name="_Toc7879"/>
      <w:r>
        <w:rPr>
          <w:rFonts w:hint="default" w:ascii="Times New Roman" w:hAnsi="Times New Roman" w:eastAsia="仿宋" w:cs="Times New Roman"/>
          <w:color w:val="auto"/>
        </w:rPr>
        <w:t xml:space="preserve">3.4.2 </w:t>
      </w:r>
      <w:r>
        <w:rPr>
          <w:rFonts w:hint="eastAsia" w:eastAsia="仿宋" w:cs="Times New Roman"/>
          <w:color w:val="auto"/>
          <w:lang w:val="en-US" w:eastAsia="zh-CN"/>
        </w:rPr>
        <w:t>厂区</w:t>
      </w:r>
      <w:r>
        <w:rPr>
          <w:rFonts w:hint="default" w:ascii="Times New Roman" w:hAnsi="Times New Roman" w:eastAsia="仿宋" w:cs="Times New Roman"/>
          <w:color w:val="auto"/>
        </w:rPr>
        <w:t>风险识别</w:t>
      </w:r>
      <w:bookmarkEnd w:id="191"/>
      <w:bookmarkEnd w:id="192"/>
      <w:bookmarkEnd w:id="193"/>
      <w:bookmarkEnd w:id="194"/>
      <w:bookmarkEnd w:id="195"/>
      <w:bookmarkEnd w:id="196"/>
      <w:bookmarkEnd w:id="197"/>
      <w:bookmarkEnd w:id="198"/>
    </w:p>
    <w:bookmarkEnd w:id="153"/>
    <w:bookmarkEnd w:id="154"/>
    <w:bookmarkEnd w:id="155"/>
    <w:bookmarkEnd w:id="156"/>
    <w:bookmarkEnd w:id="180"/>
    <w:bookmarkEnd w:id="181"/>
    <w:p>
      <w:pPr>
        <w:adjustRightInd w:val="0"/>
        <w:snapToGrid w:val="0"/>
        <w:spacing w:line="360" w:lineRule="auto"/>
        <w:ind w:firstLine="560" w:firstLineChars="200"/>
        <w:rPr>
          <w:rFonts w:ascii="Times New Roman" w:hAnsi="Times New Roman" w:eastAsia="仿宋"/>
          <w:color w:val="auto"/>
          <w:sz w:val="28"/>
          <w:szCs w:val="28"/>
        </w:rPr>
      </w:pPr>
      <w:bookmarkStart w:id="199" w:name="_Toc27802"/>
      <w:bookmarkStart w:id="200" w:name="_Toc9596_WPSOffice_Level1"/>
      <w:bookmarkStart w:id="201" w:name="_Toc24829_WPSOffice_Level1"/>
      <w:bookmarkStart w:id="202" w:name="_Toc31298"/>
      <w:bookmarkStart w:id="203" w:name="_Toc17732469"/>
      <w:bookmarkStart w:id="204" w:name="_Toc2475"/>
      <w:bookmarkStart w:id="205" w:name="_Toc6773_WPSOffice_Level1"/>
      <w:bookmarkStart w:id="206" w:name="_Toc16247"/>
      <w:bookmarkStart w:id="207" w:name="_Toc14025"/>
      <w:bookmarkStart w:id="208" w:name="_Toc9821_WPSOffice_Level1"/>
      <w:r>
        <w:rPr>
          <w:rFonts w:ascii="Times New Roman" w:hAnsi="Times New Roman" w:eastAsia="仿宋"/>
          <w:color w:val="auto"/>
          <w:sz w:val="28"/>
          <w:szCs w:val="28"/>
        </w:rPr>
        <w:t>通过生产过程进行完整的识别，本项目主要</w:t>
      </w:r>
      <w:r>
        <w:rPr>
          <w:rFonts w:hint="default" w:ascii="Times New Roman" w:hAnsi="Times New Roman" w:eastAsia="仿宋" w:cs="Times New Roman"/>
          <w:color w:val="auto"/>
          <w:kern w:val="0"/>
          <w:sz w:val="28"/>
          <w:szCs w:val="28"/>
          <w:highlight w:val="none"/>
        </w:rPr>
        <w:t>风险事故源</w:t>
      </w:r>
      <w:r>
        <w:rPr>
          <w:rFonts w:hint="eastAsia" w:ascii="Times New Roman" w:hAnsi="Times New Roman" w:eastAsia="仿宋" w:cs="Times New Roman"/>
          <w:color w:val="auto"/>
          <w:kern w:val="0"/>
          <w:sz w:val="28"/>
          <w:szCs w:val="28"/>
          <w:highlight w:val="none"/>
          <w:lang w:val="en-US" w:eastAsia="zh-CN"/>
        </w:rPr>
        <w:t>为丙烷、废机油、废润滑油及废乳化液</w:t>
      </w:r>
      <w:r>
        <w:rPr>
          <w:rFonts w:hint="eastAsia" w:ascii="Times New Roman" w:hAnsi="Times New Roman" w:eastAsia="仿宋" w:cs="Times New Roman"/>
          <w:color w:val="auto"/>
          <w:sz w:val="28"/>
          <w:szCs w:val="28"/>
          <w:lang w:val="en-US" w:eastAsia="zh-CN"/>
        </w:rPr>
        <w:t>泄漏引起的火灾、爆炸事故，物质不完全燃烧产生的CO等有害气体，污染大气环境。</w:t>
      </w:r>
    </w:p>
    <w:p>
      <w:pPr>
        <w:pStyle w:val="2"/>
        <w:pageBreakBefore w:val="0"/>
        <w:kinsoku/>
        <w:wordWrap/>
        <w:overflowPunct/>
        <w:topLinePunct w:val="0"/>
        <w:bidi w:val="0"/>
        <w:adjustRightInd w:val="0"/>
        <w:snapToGrid w:val="0"/>
        <w:spacing w:before="0" w:after="0" w:line="360" w:lineRule="auto"/>
        <w:ind w:firstLine="562" w:firstLineChars="200"/>
        <w:textAlignment w:val="auto"/>
        <w:outlineLvl w:val="0"/>
        <w:rPr>
          <w:rFonts w:hint="default" w:ascii="Times New Roman" w:hAnsi="Times New Roman" w:eastAsia="仿宋" w:cs="Times New Roman"/>
          <w:color w:val="auto"/>
          <w:sz w:val="28"/>
          <w:szCs w:val="28"/>
        </w:rPr>
      </w:pPr>
      <w:bookmarkStart w:id="209" w:name="_Toc25275"/>
      <w:bookmarkStart w:id="210" w:name="_Toc12097"/>
      <w:r>
        <w:rPr>
          <w:rFonts w:hint="default" w:ascii="Times New Roman" w:hAnsi="Times New Roman" w:eastAsia="仿宋" w:cs="Times New Roman"/>
          <w:color w:val="auto"/>
          <w:sz w:val="28"/>
          <w:szCs w:val="28"/>
        </w:rPr>
        <w:t>3.5安全生产管理</w:t>
      </w:r>
      <w:bookmarkEnd w:id="199"/>
      <w:bookmarkEnd w:id="200"/>
      <w:bookmarkEnd w:id="201"/>
      <w:bookmarkEnd w:id="202"/>
      <w:bookmarkEnd w:id="203"/>
      <w:bookmarkEnd w:id="204"/>
      <w:bookmarkEnd w:id="205"/>
      <w:bookmarkEnd w:id="206"/>
      <w:bookmarkEnd w:id="207"/>
      <w:bookmarkEnd w:id="208"/>
      <w:bookmarkEnd w:id="209"/>
      <w:bookmarkEnd w:id="210"/>
      <w:r>
        <w:rPr>
          <w:rFonts w:hint="default" w:ascii="Times New Roman" w:hAnsi="Times New Roman" w:eastAsia="仿宋" w:cs="Times New Roman"/>
          <w:color w:val="auto"/>
          <w:sz w:val="28"/>
          <w:szCs w:val="28"/>
        </w:rPr>
        <w:tab/>
      </w:r>
    </w:p>
    <w:p>
      <w:pPr>
        <w:adjustRightInd/>
        <w:snapToGrid/>
        <w:spacing w:line="360" w:lineRule="auto"/>
        <w:ind w:firstLine="560"/>
        <w:contextualSpacing/>
        <w:rPr>
          <w:rFonts w:hint="default" w:ascii="Times New Roman" w:hAnsi="Times New Roman" w:eastAsia="仿宋" w:cs="Times New Roman"/>
          <w:color w:val="auto"/>
          <w:sz w:val="28"/>
          <w:szCs w:val="28"/>
        </w:rPr>
      </w:pPr>
      <w:bookmarkStart w:id="211" w:name="_Toc17534"/>
      <w:bookmarkStart w:id="212" w:name="_Toc524645547"/>
      <w:r>
        <w:rPr>
          <w:rFonts w:hint="default" w:ascii="Times New Roman" w:hAnsi="Times New Roman" w:eastAsia="仿宋" w:cs="Times New Roman"/>
          <w:color w:val="auto"/>
          <w:sz w:val="28"/>
          <w:szCs w:val="28"/>
        </w:rPr>
        <w:t>根据</w:t>
      </w:r>
      <w:r>
        <w:rPr>
          <w:rFonts w:hint="default" w:ascii="Times New Roman" w:hAnsi="Times New Roman" w:eastAsia="仿宋" w:cs="Times New Roman"/>
          <w:iCs/>
          <w:color w:val="auto"/>
          <w:sz w:val="28"/>
          <w:szCs w:val="28"/>
        </w:rPr>
        <w:t>《企业突发环境事件风险分级方法》</w:t>
      </w:r>
      <w:r>
        <w:rPr>
          <w:rFonts w:hint="default" w:ascii="Times New Roman" w:hAnsi="Times New Roman" w:eastAsia="仿宋" w:cs="Times New Roman"/>
          <w:color w:val="auto"/>
          <w:sz w:val="28"/>
          <w:szCs w:val="28"/>
        </w:rPr>
        <w:t>（HJ941-2018）附录A</w:t>
      </w:r>
      <w:r>
        <w:rPr>
          <w:rFonts w:hint="eastAsia"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对企业安全生产控制情况进行检查，检查结果见表3.5-1。</w:t>
      </w:r>
    </w:p>
    <w:p>
      <w:pPr>
        <w:pStyle w:val="24"/>
        <w:widowControl/>
        <w:spacing w:line="360" w:lineRule="auto"/>
        <w:ind w:firstLine="0" w:firstLineChars="0"/>
        <w:contextualSpacing/>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4"/>
          <w:szCs w:val="24"/>
        </w:rPr>
        <w:t>表3.5-1企业安全生产管理对照检查结果表</w:t>
      </w:r>
    </w:p>
    <w:tbl>
      <w:tblPr>
        <w:tblStyle w:val="16"/>
        <w:tblW w:w="836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
      <w:tblGrid>
        <w:gridCol w:w="1534"/>
        <w:gridCol w:w="5157"/>
        <w:gridCol w:w="167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534" w:type="dxa"/>
            <w:noWrap w:val="0"/>
            <w:vAlign w:val="center"/>
          </w:tcPr>
          <w:p>
            <w:pPr>
              <w:tabs>
                <w:tab w:val="left" w:pos="823"/>
              </w:tabs>
              <w:spacing w:line="240" w:lineRule="auto"/>
              <w:ind w:firstLine="0" w:firstLineChars="0"/>
              <w:jc w:val="center"/>
              <w:rPr>
                <w:rFonts w:hint="default" w:ascii="Times New Roman" w:hAnsi="Times New Roman" w:eastAsia="仿宋" w:cs="Times New Roman"/>
                <w:b/>
                <w:bCs/>
                <w:color w:val="auto"/>
                <w:sz w:val="21"/>
                <w:szCs w:val="21"/>
              </w:rPr>
            </w:pPr>
            <w:r>
              <w:rPr>
                <w:rFonts w:hint="default" w:ascii="Times New Roman" w:hAnsi="Times New Roman" w:eastAsia="仿宋" w:cs="Times New Roman"/>
                <w:b/>
                <w:bCs/>
                <w:color w:val="auto"/>
                <w:sz w:val="21"/>
                <w:szCs w:val="21"/>
              </w:rPr>
              <w:t>评估指标</w:t>
            </w:r>
          </w:p>
        </w:tc>
        <w:tc>
          <w:tcPr>
            <w:tcW w:w="5157" w:type="dxa"/>
            <w:noWrap w:val="0"/>
            <w:vAlign w:val="center"/>
          </w:tcPr>
          <w:p>
            <w:pPr>
              <w:tabs>
                <w:tab w:val="left" w:pos="823"/>
              </w:tabs>
              <w:spacing w:line="240" w:lineRule="auto"/>
              <w:ind w:firstLine="0" w:firstLineChars="0"/>
              <w:jc w:val="center"/>
              <w:rPr>
                <w:rFonts w:hint="default" w:ascii="Times New Roman" w:hAnsi="Times New Roman" w:eastAsia="仿宋" w:cs="Times New Roman"/>
                <w:b/>
                <w:bCs/>
                <w:color w:val="auto"/>
                <w:sz w:val="21"/>
                <w:szCs w:val="21"/>
              </w:rPr>
            </w:pPr>
            <w:r>
              <w:rPr>
                <w:rFonts w:hint="default" w:ascii="Times New Roman" w:hAnsi="Times New Roman" w:eastAsia="仿宋" w:cs="Times New Roman"/>
                <w:b/>
                <w:bCs/>
                <w:color w:val="auto"/>
                <w:sz w:val="21"/>
                <w:szCs w:val="21"/>
              </w:rPr>
              <w:t>评估依据</w:t>
            </w:r>
          </w:p>
        </w:tc>
        <w:tc>
          <w:tcPr>
            <w:tcW w:w="1677" w:type="dxa"/>
            <w:noWrap w:val="0"/>
            <w:vAlign w:val="center"/>
          </w:tcPr>
          <w:p>
            <w:pPr>
              <w:tabs>
                <w:tab w:val="left" w:pos="823"/>
              </w:tabs>
              <w:spacing w:line="240" w:lineRule="auto"/>
              <w:ind w:firstLine="0" w:firstLineChars="0"/>
              <w:jc w:val="center"/>
              <w:rPr>
                <w:rFonts w:hint="default" w:ascii="Times New Roman" w:hAnsi="Times New Roman" w:eastAsia="仿宋" w:cs="Times New Roman"/>
                <w:b/>
                <w:bCs/>
                <w:color w:val="auto"/>
                <w:sz w:val="21"/>
                <w:szCs w:val="21"/>
              </w:rPr>
            </w:pPr>
            <w:r>
              <w:rPr>
                <w:rFonts w:hint="default" w:ascii="Times New Roman" w:hAnsi="Times New Roman" w:eastAsia="仿宋" w:cs="Times New Roman"/>
                <w:b/>
                <w:bCs/>
                <w:color w:val="auto"/>
                <w:sz w:val="21"/>
                <w:szCs w:val="21"/>
              </w:rPr>
              <w:t>检查结果</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534" w:type="dxa"/>
            <w:vMerge w:val="restart"/>
            <w:noWrap w:val="0"/>
            <w:vAlign w:val="center"/>
          </w:tcPr>
          <w:p>
            <w:pPr>
              <w:autoSpaceDE w:val="0"/>
              <w:autoSpaceDN w:val="0"/>
              <w:spacing w:line="240" w:lineRule="auto"/>
              <w:ind w:left="0" w:leftChars="0" w:firstLine="210" w:firstLineChars="100"/>
              <w:jc w:val="both"/>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安全生产许可</w:t>
            </w:r>
          </w:p>
        </w:tc>
        <w:tc>
          <w:tcPr>
            <w:tcW w:w="5157" w:type="dxa"/>
            <w:noWrap w:val="0"/>
            <w:vAlign w:val="center"/>
          </w:tcPr>
          <w:p>
            <w:pPr>
              <w:autoSpaceDE w:val="0"/>
              <w:autoSpaceDN w:val="0"/>
              <w:spacing w:line="240" w:lineRule="auto"/>
              <w:ind w:firstLine="0" w:firstLineChars="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非危险化学品生产企业，或危险化学品生产企业取得安全生产许可</w:t>
            </w:r>
          </w:p>
        </w:tc>
        <w:tc>
          <w:tcPr>
            <w:tcW w:w="1677" w:type="dxa"/>
            <w:vMerge w:val="restart"/>
            <w:noWrap w:val="0"/>
            <w:vAlign w:val="center"/>
          </w:tcPr>
          <w:p>
            <w:pPr>
              <w:autoSpaceDE w:val="0"/>
              <w:autoSpaceDN w:val="0"/>
              <w:spacing w:line="240" w:lineRule="auto"/>
              <w:ind w:firstLine="0" w:firstLineChars="0"/>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企业已取得安全生产许可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534" w:type="dxa"/>
            <w:vMerge w:val="continue"/>
            <w:noWrap w:val="0"/>
            <w:vAlign w:val="center"/>
          </w:tcPr>
          <w:p>
            <w:pPr>
              <w:autoSpaceDE w:val="0"/>
              <w:autoSpaceDN w:val="0"/>
              <w:spacing w:line="240" w:lineRule="auto"/>
              <w:ind w:firstLine="0" w:firstLineChars="0"/>
              <w:jc w:val="center"/>
              <w:rPr>
                <w:rFonts w:hint="default" w:ascii="Times New Roman" w:hAnsi="Times New Roman" w:eastAsia="仿宋" w:cs="Times New Roman"/>
                <w:color w:val="auto"/>
                <w:sz w:val="21"/>
                <w:szCs w:val="21"/>
              </w:rPr>
            </w:pPr>
          </w:p>
        </w:tc>
        <w:tc>
          <w:tcPr>
            <w:tcW w:w="5157" w:type="dxa"/>
            <w:noWrap w:val="0"/>
            <w:vAlign w:val="center"/>
          </w:tcPr>
          <w:p>
            <w:pPr>
              <w:autoSpaceDE w:val="0"/>
              <w:autoSpaceDN w:val="0"/>
              <w:spacing w:line="240" w:lineRule="auto"/>
              <w:ind w:firstLine="0" w:firstLineChars="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危险化学品生产企业未取得安全生产许可</w:t>
            </w:r>
          </w:p>
        </w:tc>
        <w:tc>
          <w:tcPr>
            <w:tcW w:w="1677" w:type="dxa"/>
            <w:vMerge w:val="continue"/>
            <w:noWrap w:val="0"/>
            <w:vAlign w:val="center"/>
          </w:tcPr>
          <w:p>
            <w:pPr>
              <w:autoSpaceDE w:val="0"/>
              <w:autoSpaceDN w:val="0"/>
              <w:spacing w:line="240" w:lineRule="auto"/>
              <w:ind w:firstLine="0" w:firstLineChars="0"/>
              <w:jc w:val="center"/>
              <w:rPr>
                <w:rFonts w:hint="default" w:ascii="Times New Roman" w:hAnsi="Times New Roman" w:eastAsia="仿宋" w:cs="Times New Roman"/>
                <w:color w:val="auto"/>
                <w:sz w:val="21"/>
                <w:szCs w:val="21"/>
                <w:highlight w:val="yellow"/>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97" w:hRule="atLeast"/>
          <w:jc w:val="center"/>
        </w:trPr>
        <w:tc>
          <w:tcPr>
            <w:tcW w:w="1534" w:type="dxa"/>
            <w:vMerge w:val="restart"/>
            <w:noWrap w:val="0"/>
            <w:vAlign w:val="center"/>
          </w:tcPr>
          <w:p>
            <w:pPr>
              <w:autoSpaceDE w:val="0"/>
              <w:autoSpaceDN w:val="0"/>
              <w:spacing w:line="240" w:lineRule="auto"/>
              <w:ind w:firstLine="0" w:firstLineChars="0"/>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危险化学品安全评价</w:t>
            </w:r>
          </w:p>
        </w:tc>
        <w:tc>
          <w:tcPr>
            <w:tcW w:w="5157" w:type="dxa"/>
            <w:noWrap w:val="0"/>
            <w:vAlign w:val="center"/>
          </w:tcPr>
          <w:p>
            <w:pPr>
              <w:autoSpaceDE w:val="0"/>
              <w:autoSpaceDN w:val="0"/>
              <w:spacing w:line="240" w:lineRule="auto"/>
              <w:ind w:firstLine="0" w:firstLineChars="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开展危险化学品安全评价；通过安全设施竣工验收，或无要求</w:t>
            </w:r>
          </w:p>
        </w:tc>
        <w:tc>
          <w:tcPr>
            <w:tcW w:w="1677" w:type="dxa"/>
            <w:vMerge w:val="restart"/>
            <w:noWrap w:val="0"/>
            <w:vAlign w:val="center"/>
          </w:tcPr>
          <w:p>
            <w:pPr>
              <w:autoSpaceDE w:val="0"/>
              <w:autoSpaceDN w:val="0"/>
              <w:spacing w:line="240" w:lineRule="auto"/>
              <w:ind w:firstLine="0" w:firstLineChars="0"/>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开展危险化学品安全评价；通过安全设施竣工验收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534" w:type="dxa"/>
            <w:vMerge w:val="continue"/>
            <w:noWrap w:val="0"/>
            <w:vAlign w:val="center"/>
          </w:tcPr>
          <w:p>
            <w:pPr>
              <w:autoSpaceDE w:val="0"/>
              <w:autoSpaceDN w:val="0"/>
              <w:spacing w:line="240" w:lineRule="auto"/>
              <w:ind w:firstLine="0" w:firstLineChars="0"/>
              <w:jc w:val="center"/>
              <w:rPr>
                <w:rFonts w:hint="default" w:ascii="Times New Roman" w:hAnsi="Times New Roman" w:eastAsia="仿宋" w:cs="Times New Roman"/>
                <w:color w:val="auto"/>
                <w:sz w:val="21"/>
                <w:szCs w:val="21"/>
              </w:rPr>
            </w:pPr>
          </w:p>
        </w:tc>
        <w:tc>
          <w:tcPr>
            <w:tcW w:w="5157" w:type="dxa"/>
            <w:noWrap w:val="0"/>
            <w:vAlign w:val="center"/>
          </w:tcPr>
          <w:p>
            <w:pPr>
              <w:autoSpaceDE w:val="0"/>
              <w:autoSpaceDN w:val="0"/>
              <w:spacing w:line="240" w:lineRule="auto"/>
              <w:ind w:firstLine="0" w:firstLineChars="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未开展危险化学品安全评价，或未通过安全设施竣工验收</w:t>
            </w:r>
          </w:p>
        </w:tc>
        <w:tc>
          <w:tcPr>
            <w:tcW w:w="1677" w:type="dxa"/>
            <w:vMerge w:val="continue"/>
            <w:noWrap w:val="0"/>
            <w:vAlign w:val="center"/>
          </w:tcPr>
          <w:p>
            <w:pPr>
              <w:autoSpaceDE w:val="0"/>
              <w:autoSpaceDN w:val="0"/>
              <w:spacing w:line="240" w:lineRule="auto"/>
              <w:ind w:firstLine="0" w:firstLineChars="0"/>
              <w:jc w:val="center"/>
              <w:rPr>
                <w:rFonts w:hint="default" w:ascii="Times New Roman" w:hAnsi="Times New Roman" w:eastAsia="仿宋" w:cs="Times New Roman"/>
                <w:color w:val="auto"/>
                <w:sz w:val="21"/>
                <w:szCs w:val="21"/>
                <w:highlight w:val="yellow"/>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534" w:type="dxa"/>
            <w:vMerge w:val="restart"/>
            <w:noWrap w:val="0"/>
            <w:vAlign w:val="center"/>
          </w:tcPr>
          <w:p>
            <w:pPr>
              <w:autoSpaceDE w:val="0"/>
              <w:autoSpaceDN w:val="0"/>
              <w:spacing w:line="240" w:lineRule="auto"/>
              <w:ind w:firstLine="0" w:firstLineChars="0"/>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危险化学品重大危险源备案</w:t>
            </w:r>
          </w:p>
        </w:tc>
        <w:tc>
          <w:tcPr>
            <w:tcW w:w="5157" w:type="dxa"/>
            <w:noWrap w:val="0"/>
            <w:vAlign w:val="center"/>
          </w:tcPr>
          <w:p>
            <w:pPr>
              <w:autoSpaceDE w:val="0"/>
              <w:autoSpaceDN w:val="0"/>
              <w:spacing w:line="240" w:lineRule="auto"/>
              <w:ind w:firstLine="0" w:firstLineChars="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无重大危险源，或所有危险化学品重大危险源均已备案</w:t>
            </w:r>
          </w:p>
        </w:tc>
        <w:tc>
          <w:tcPr>
            <w:tcW w:w="1677" w:type="dxa"/>
            <w:vMerge w:val="restart"/>
            <w:noWrap w:val="0"/>
            <w:vAlign w:val="center"/>
          </w:tcPr>
          <w:p>
            <w:pPr>
              <w:autoSpaceDE w:val="0"/>
              <w:autoSpaceDN w:val="0"/>
              <w:spacing w:line="240" w:lineRule="auto"/>
              <w:ind w:firstLine="0" w:firstLineChars="0"/>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所有危险化学品均已备案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97" w:hRule="atLeast"/>
          <w:jc w:val="center"/>
        </w:trPr>
        <w:tc>
          <w:tcPr>
            <w:tcW w:w="1534" w:type="dxa"/>
            <w:vMerge w:val="continue"/>
            <w:noWrap w:val="0"/>
            <w:vAlign w:val="center"/>
          </w:tcPr>
          <w:p>
            <w:pPr>
              <w:autoSpaceDE w:val="0"/>
              <w:autoSpaceDN w:val="0"/>
              <w:spacing w:line="240" w:lineRule="auto"/>
              <w:ind w:firstLine="0" w:firstLineChars="0"/>
              <w:jc w:val="center"/>
              <w:rPr>
                <w:rFonts w:hint="default" w:ascii="Times New Roman" w:hAnsi="Times New Roman" w:eastAsia="仿宋" w:cs="Times New Roman"/>
                <w:color w:val="auto"/>
                <w:sz w:val="21"/>
                <w:szCs w:val="21"/>
              </w:rPr>
            </w:pPr>
          </w:p>
        </w:tc>
        <w:tc>
          <w:tcPr>
            <w:tcW w:w="5157" w:type="dxa"/>
            <w:noWrap w:val="0"/>
            <w:vAlign w:val="center"/>
          </w:tcPr>
          <w:p>
            <w:pPr>
              <w:autoSpaceDE w:val="0"/>
              <w:autoSpaceDN w:val="0"/>
              <w:spacing w:line="240" w:lineRule="auto"/>
              <w:ind w:firstLine="0" w:firstLineChars="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有危险化学品重大危险源未备案</w:t>
            </w:r>
          </w:p>
        </w:tc>
        <w:tc>
          <w:tcPr>
            <w:tcW w:w="1677" w:type="dxa"/>
            <w:vMerge w:val="continue"/>
            <w:noWrap w:val="0"/>
            <w:vAlign w:val="center"/>
          </w:tcPr>
          <w:p>
            <w:pPr>
              <w:autoSpaceDE w:val="0"/>
              <w:autoSpaceDN w:val="0"/>
              <w:spacing w:line="240" w:lineRule="auto"/>
              <w:ind w:firstLine="0" w:firstLineChars="0"/>
              <w:jc w:val="center"/>
              <w:rPr>
                <w:rFonts w:hint="default" w:ascii="Times New Roman" w:hAnsi="Times New Roman" w:eastAsia="仿宋" w:cs="Times New Roman"/>
                <w:color w:val="auto"/>
                <w:sz w:val="21"/>
                <w:szCs w:val="21"/>
                <w:highlight w:val="yellow"/>
              </w:rPr>
            </w:pPr>
          </w:p>
        </w:tc>
      </w:tr>
    </w:tbl>
    <w:p>
      <w:pPr>
        <w:pageBreakBefore w:val="0"/>
        <w:kinsoku/>
        <w:wordWrap/>
        <w:overflowPunct/>
        <w:topLinePunct w:val="0"/>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lang w:val="en-US" w:eastAsia="zh-CN"/>
        </w:rPr>
      </w:pPr>
      <w:r>
        <w:rPr>
          <w:rFonts w:hint="eastAsia" w:ascii="仿宋" w:hAnsi="仿宋" w:eastAsia="仿宋" w:cs="仿宋"/>
          <w:color w:val="auto"/>
          <w:sz w:val="28"/>
          <w:szCs w:val="28"/>
        </w:rPr>
        <w:t>企业建立了环境管理机构和消防领导小组，设置了专职安全员，对整个现场的环境实行网络管理。</w:t>
      </w:r>
    </w:p>
    <w:p>
      <w:pPr>
        <w:pStyle w:val="2"/>
        <w:pageBreakBefore w:val="0"/>
        <w:kinsoku/>
        <w:wordWrap/>
        <w:overflowPunct/>
        <w:topLinePunct w:val="0"/>
        <w:bidi w:val="0"/>
        <w:adjustRightInd w:val="0"/>
        <w:snapToGrid w:val="0"/>
        <w:spacing w:before="0" w:after="0" w:line="360" w:lineRule="auto"/>
        <w:ind w:firstLine="562" w:firstLineChars="200"/>
        <w:textAlignment w:val="auto"/>
        <w:outlineLvl w:val="0"/>
        <w:rPr>
          <w:rFonts w:hint="default" w:ascii="Times New Roman" w:hAnsi="Times New Roman" w:eastAsia="仿宋" w:cs="Times New Roman"/>
          <w:color w:val="auto"/>
          <w:sz w:val="28"/>
          <w:szCs w:val="28"/>
        </w:rPr>
      </w:pPr>
      <w:bookmarkStart w:id="213" w:name="_Toc18556_WPSOffice_Level1"/>
      <w:bookmarkStart w:id="214" w:name="_Toc28474_WPSOffice_Level1"/>
      <w:bookmarkStart w:id="215" w:name="_Toc306"/>
      <w:bookmarkStart w:id="216" w:name="_Toc22967"/>
      <w:bookmarkStart w:id="217" w:name="_Toc17732470"/>
      <w:bookmarkStart w:id="218" w:name="_Toc28167"/>
      <w:bookmarkStart w:id="219" w:name="_Toc13236_WPSOffice_Level1"/>
      <w:bookmarkStart w:id="220" w:name="_Toc1972"/>
      <w:bookmarkStart w:id="221" w:name="_Toc14997"/>
      <w:bookmarkStart w:id="222" w:name="_Toc27607_WPSOffice_Level1"/>
      <w:bookmarkStart w:id="223" w:name="_Toc8473"/>
      <w:bookmarkStart w:id="224" w:name="_Toc24585"/>
      <w:r>
        <w:rPr>
          <w:rFonts w:hint="default" w:ascii="Times New Roman" w:hAnsi="Times New Roman" w:eastAsia="仿宋" w:cs="Times New Roman"/>
          <w:color w:val="auto"/>
          <w:sz w:val="28"/>
          <w:szCs w:val="28"/>
        </w:rPr>
        <w:t>3.6现有环境风险防控与应急措施情况</w:t>
      </w:r>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r>
        <w:rPr>
          <w:rFonts w:hint="default" w:ascii="Times New Roman" w:hAnsi="Times New Roman" w:eastAsia="仿宋" w:cs="Times New Roman"/>
          <w:color w:val="auto"/>
          <w:sz w:val="28"/>
          <w:szCs w:val="28"/>
        </w:rPr>
        <w:tab/>
      </w:r>
    </w:p>
    <w:p>
      <w:pPr>
        <w:pStyle w:val="4"/>
        <w:ind w:firstLine="562"/>
        <w:outlineLvl w:val="1"/>
        <w:rPr>
          <w:rFonts w:eastAsia="仿宋"/>
          <w:color w:val="auto"/>
          <w:highlight w:val="none"/>
        </w:rPr>
      </w:pPr>
      <w:bookmarkStart w:id="225" w:name="_Toc25368"/>
      <w:bookmarkStart w:id="226" w:name="_Toc22184"/>
      <w:bookmarkStart w:id="227" w:name="_Toc22488_WPSOffice_Level2"/>
      <w:bookmarkStart w:id="228" w:name="_Toc7197_WPSOffice_Level2"/>
      <w:bookmarkStart w:id="229" w:name="_Toc28134"/>
      <w:bookmarkStart w:id="230" w:name="_Toc31613_WPSOffice_Level1"/>
      <w:bookmarkStart w:id="231" w:name="_Toc30792_WPSOffice_Level1"/>
      <w:bookmarkStart w:id="232" w:name="_Toc26124"/>
      <w:bookmarkStart w:id="233" w:name="_Toc26172_WPSOffice_Level1"/>
      <w:bookmarkStart w:id="234" w:name="_Toc3482"/>
      <w:bookmarkStart w:id="235" w:name="_Toc17378"/>
      <w:bookmarkStart w:id="236" w:name="_Toc17732473"/>
      <w:bookmarkStart w:id="237" w:name="_Toc14992"/>
      <w:bookmarkStart w:id="238" w:name="_Toc3687"/>
      <w:bookmarkStart w:id="239" w:name="_Toc5313_WPSOffice_Level1"/>
      <w:r>
        <w:rPr>
          <w:rFonts w:eastAsia="仿宋"/>
          <w:color w:val="auto"/>
          <w:highlight w:val="none"/>
        </w:rPr>
        <w:t>3.6.1环境保护管理制度</w:t>
      </w:r>
      <w:bookmarkEnd w:id="225"/>
      <w:bookmarkEnd w:id="226"/>
      <w:bookmarkEnd w:id="227"/>
      <w:bookmarkEnd w:id="228"/>
    </w:p>
    <w:p>
      <w:pPr>
        <w:adjustRightInd w:val="0"/>
        <w:snapToGrid w:val="0"/>
        <w:spacing w:line="360" w:lineRule="auto"/>
        <w:ind w:firstLine="560" w:firstLineChars="20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公司建立了环境保护管理制度及生产车间的环境管理保护职责，对生产设备、危废储存情况进行</w:t>
      </w:r>
      <w:r>
        <w:rPr>
          <w:rFonts w:hint="eastAsia" w:ascii="Times New Roman" w:hAnsi="Times New Roman" w:eastAsia="仿宋"/>
          <w:color w:val="auto"/>
          <w:sz w:val="28"/>
          <w:szCs w:val="28"/>
          <w:highlight w:val="none"/>
        </w:rPr>
        <w:t>定期巡检</w:t>
      </w:r>
      <w:r>
        <w:rPr>
          <w:rFonts w:ascii="Times New Roman" w:hAnsi="Times New Roman" w:eastAsia="仿宋"/>
          <w:color w:val="auto"/>
          <w:sz w:val="28"/>
          <w:szCs w:val="28"/>
          <w:highlight w:val="none"/>
        </w:rPr>
        <w:t>。</w:t>
      </w:r>
    </w:p>
    <w:bookmarkEnd w:id="229"/>
    <w:p>
      <w:pPr>
        <w:pStyle w:val="4"/>
        <w:ind w:firstLine="562"/>
        <w:outlineLvl w:val="1"/>
        <w:rPr>
          <w:rFonts w:eastAsia="仿宋"/>
          <w:color w:val="auto"/>
          <w:highlight w:val="none"/>
        </w:rPr>
      </w:pPr>
      <w:bookmarkStart w:id="240" w:name="_Toc6640_WPSOffice_Level2"/>
      <w:bookmarkStart w:id="241" w:name="_Toc29079"/>
      <w:bookmarkStart w:id="242" w:name="_Toc6754_WPSOffice_Level2"/>
      <w:bookmarkStart w:id="243" w:name="_Toc24224"/>
      <w:bookmarkStart w:id="244" w:name="_Toc30902"/>
      <w:r>
        <w:rPr>
          <w:rFonts w:eastAsia="仿宋"/>
          <w:color w:val="auto"/>
          <w:highlight w:val="none"/>
        </w:rPr>
        <w:t>3.6.2环境风险防控与应急措施</w:t>
      </w:r>
      <w:bookmarkEnd w:id="240"/>
      <w:bookmarkEnd w:id="241"/>
      <w:bookmarkEnd w:id="242"/>
      <w:bookmarkEnd w:id="243"/>
    </w:p>
    <w:p>
      <w:pPr>
        <w:adjustRightInd w:val="0"/>
        <w:snapToGrid w:val="0"/>
        <w:spacing w:line="360" w:lineRule="auto"/>
        <w:ind w:firstLine="560" w:firstLineChars="20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针对项目现有风险源及可能发生的事故，</w:t>
      </w:r>
      <w:r>
        <w:rPr>
          <w:rFonts w:hint="eastAsia" w:ascii="Times New Roman" w:hAnsi="Times New Roman" w:eastAsia="仿宋"/>
          <w:color w:val="auto"/>
          <w:sz w:val="28"/>
          <w:szCs w:val="28"/>
          <w:highlight w:val="none"/>
          <w:lang w:val="en-US" w:eastAsia="zh-CN"/>
        </w:rPr>
        <w:t>企业</w:t>
      </w:r>
      <w:r>
        <w:rPr>
          <w:rFonts w:ascii="Times New Roman" w:hAnsi="Times New Roman" w:eastAsia="仿宋"/>
          <w:color w:val="auto"/>
          <w:sz w:val="28"/>
          <w:szCs w:val="28"/>
          <w:highlight w:val="none"/>
        </w:rPr>
        <w:t>采取了一定的风险防范及应急措施，具体措施见表3.6-1。</w:t>
      </w:r>
    </w:p>
    <w:p>
      <w:pPr>
        <w:adjustRightInd w:val="0"/>
        <w:snapToGrid w:val="0"/>
        <w:spacing w:line="360" w:lineRule="auto"/>
        <w:ind w:firstLine="482" w:firstLineChars="200"/>
        <w:jc w:val="center"/>
        <w:textAlignment w:val="baseline"/>
        <w:rPr>
          <w:rFonts w:ascii="Times New Roman" w:hAnsi="Times New Roman" w:eastAsia="仿宋"/>
          <w:b/>
          <w:color w:val="auto"/>
          <w:sz w:val="24"/>
          <w:szCs w:val="24"/>
          <w:highlight w:val="none"/>
        </w:rPr>
      </w:pPr>
      <w:r>
        <w:rPr>
          <w:rFonts w:ascii="Times New Roman" w:hAnsi="Times New Roman" w:eastAsia="仿宋"/>
          <w:b/>
          <w:color w:val="auto"/>
          <w:sz w:val="24"/>
          <w:szCs w:val="24"/>
          <w:highlight w:val="none"/>
        </w:rPr>
        <w:t>表3.6-1  项目现有环境风险防控与应急措施</w:t>
      </w:r>
    </w:p>
    <w:tbl>
      <w:tblPr>
        <w:tblStyle w:val="16"/>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33"/>
        <w:gridCol w:w="2028"/>
        <w:gridCol w:w="565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79" w:type="pct"/>
            <w:gridSpan w:val="2"/>
            <w:vAlign w:val="center"/>
          </w:tcPr>
          <w:p>
            <w:pPr>
              <w:jc w:val="center"/>
              <w:rPr>
                <w:rFonts w:ascii="Times New Roman" w:hAnsi="Times New Roman" w:eastAsia="仿宋"/>
                <w:color w:val="auto"/>
                <w:sz w:val="24"/>
                <w:szCs w:val="24"/>
                <w:highlight w:val="none"/>
              </w:rPr>
            </w:pPr>
            <w:r>
              <w:rPr>
                <w:rFonts w:ascii="Times New Roman" w:hAnsi="Times New Roman" w:eastAsia="仿宋"/>
                <w:color w:val="auto"/>
                <w:sz w:val="24"/>
                <w:szCs w:val="24"/>
                <w:highlight w:val="none"/>
              </w:rPr>
              <w:t>风险防控类型</w:t>
            </w:r>
          </w:p>
        </w:tc>
        <w:tc>
          <w:tcPr>
            <w:tcW w:w="3320" w:type="pct"/>
            <w:vAlign w:val="center"/>
          </w:tcPr>
          <w:p>
            <w:pPr>
              <w:jc w:val="center"/>
              <w:rPr>
                <w:rFonts w:ascii="Times New Roman" w:hAnsi="Times New Roman" w:eastAsia="仿宋"/>
                <w:color w:val="auto"/>
                <w:sz w:val="24"/>
                <w:szCs w:val="24"/>
                <w:highlight w:val="none"/>
              </w:rPr>
            </w:pPr>
            <w:r>
              <w:rPr>
                <w:rFonts w:ascii="Times New Roman" w:hAnsi="Times New Roman" w:eastAsia="仿宋"/>
                <w:color w:val="auto"/>
                <w:sz w:val="24"/>
                <w:szCs w:val="24"/>
                <w:highlight w:val="none"/>
              </w:rPr>
              <w:t>现有环境风险防范与应急措施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01" w:hRule="atLeast"/>
          <w:jc w:val="center"/>
        </w:trPr>
        <w:tc>
          <w:tcPr>
            <w:tcW w:w="489" w:type="pct"/>
            <w:vMerge w:val="restart"/>
            <w:vAlign w:val="center"/>
          </w:tcPr>
          <w:p>
            <w:pPr>
              <w:rPr>
                <w:rFonts w:ascii="Times New Roman" w:hAnsi="Times New Roman" w:eastAsia="仿宋"/>
                <w:color w:val="auto"/>
                <w:sz w:val="24"/>
                <w:szCs w:val="24"/>
                <w:highlight w:val="none"/>
              </w:rPr>
            </w:pPr>
            <w:r>
              <w:rPr>
                <w:rFonts w:ascii="Times New Roman" w:hAnsi="Times New Roman" w:eastAsia="仿宋"/>
                <w:color w:val="auto"/>
                <w:sz w:val="24"/>
                <w:szCs w:val="24"/>
                <w:highlight w:val="none"/>
              </w:rPr>
              <w:t>水环境风险防控措施</w:t>
            </w:r>
          </w:p>
        </w:tc>
        <w:tc>
          <w:tcPr>
            <w:tcW w:w="1190" w:type="pct"/>
            <w:vMerge w:val="restart"/>
            <w:vAlign w:val="center"/>
          </w:tcPr>
          <w:p>
            <w:pPr>
              <w:rPr>
                <w:rFonts w:ascii="Times New Roman" w:hAnsi="Times New Roman" w:eastAsia="仿宋"/>
                <w:color w:val="auto"/>
                <w:sz w:val="24"/>
                <w:szCs w:val="24"/>
                <w:highlight w:val="none"/>
              </w:rPr>
            </w:pPr>
            <w:r>
              <w:rPr>
                <w:rFonts w:hint="eastAsia" w:ascii="Times New Roman" w:hAnsi="Times New Roman" w:eastAsia="仿宋"/>
                <w:color w:val="auto"/>
                <w:sz w:val="24"/>
                <w:szCs w:val="24"/>
                <w:highlight w:val="none"/>
                <w:lang w:eastAsia="zh-CN"/>
              </w:rPr>
              <w:t>丙烷、废机油、废润滑油及废乳化液</w:t>
            </w:r>
            <w:r>
              <w:rPr>
                <w:rFonts w:ascii="Times New Roman" w:hAnsi="Times New Roman" w:eastAsia="仿宋"/>
                <w:color w:val="auto"/>
                <w:sz w:val="24"/>
                <w:szCs w:val="24"/>
                <w:highlight w:val="none"/>
              </w:rPr>
              <w:t>泄露紧急处置措施</w:t>
            </w:r>
          </w:p>
        </w:tc>
        <w:tc>
          <w:tcPr>
            <w:tcW w:w="5790" w:type="dxa"/>
            <w:vAlign w:val="center"/>
          </w:tcPr>
          <w:p>
            <w:pPr>
              <w:rPr>
                <w:rFonts w:ascii="Times New Roman" w:hAnsi="Times New Roman" w:eastAsia="仿宋"/>
                <w:color w:val="auto"/>
                <w:sz w:val="24"/>
                <w:szCs w:val="24"/>
                <w:highlight w:val="none"/>
              </w:rPr>
            </w:pPr>
            <w:r>
              <w:rPr>
                <w:rFonts w:ascii="Times New Roman" w:hAnsi="Times New Roman" w:eastAsia="仿宋"/>
                <w:color w:val="auto"/>
                <w:sz w:val="24"/>
                <w:szCs w:val="24"/>
                <w:highlight w:val="none"/>
              </w:rPr>
              <w:t>储存点地面做防渗防腐蚀</w:t>
            </w:r>
            <w:r>
              <w:rPr>
                <w:rFonts w:hint="eastAsia" w:ascii="Times New Roman" w:hAnsi="Times New Roman" w:eastAsia="仿宋"/>
                <w:color w:val="auto"/>
                <w:sz w:val="24"/>
                <w:szCs w:val="24"/>
                <w:highlight w:val="none"/>
              </w:rPr>
              <w:t>，废暂存间内设有围堰，危险物质泄漏仅局限于围堰内。若在围堰内发生泄漏，用抹布尽快擦拭泄漏物，并迅速对泄漏点进行堵漏或转移，采用细沙截流，防止流出围堰进一步污染水体。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489" w:type="pct"/>
            <w:vMerge w:val="continue"/>
            <w:vAlign w:val="center"/>
          </w:tcPr>
          <w:p>
            <w:pPr>
              <w:rPr>
                <w:rFonts w:ascii="Times New Roman" w:hAnsi="Times New Roman" w:eastAsia="仿宋"/>
                <w:color w:val="auto"/>
                <w:sz w:val="24"/>
                <w:szCs w:val="24"/>
                <w:highlight w:val="none"/>
              </w:rPr>
            </w:pPr>
          </w:p>
        </w:tc>
        <w:tc>
          <w:tcPr>
            <w:tcW w:w="1190" w:type="pct"/>
            <w:vAlign w:val="center"/>
          </w:tcPr>
          <w:p>
            <w:pPr>
              <w:rPr>
                <w:rFonts w:ascii="Times New Roman" w:hAnsi="Times New Roman" w:eastAsia="仿宋"/>
                <w:color w:val="auto"/>
                <w:sz w:val="24"/>
                <w:szCs w:val="24"/>
                <w:highlight w:val="none"/>
              </w:rPr>
            </w:pPr>
            <w:r>
              <w:rPr>
                <w:rFonts w:hint="eastAsia" w:ascii="Times New Roman" w:hAnsi="Times New Roman" w:eastAsia="仿宋"/>
                <w:color w:val="auto"/>
                <w:sz w:val="24"/>
                <w:szCs w:val="24"/>
                <w:highlight w:val="none"/>
                <w:lang w:eastAsia="zh-CN"/>
              </w:rPr>
              <w:t>丙烷、废机油、废润滑油及废乳化液</w:t>
            </w:r>
            <w:r>
              <w:rPr>
                <w:rFonts w:ascii="Times New Roman" w:hAnsi="Times New Roman" w:eastAsia="仿宋"/>
                <w:color w:val="auto"/>
                <w:sz w:val="24"/>
                <w:szCs w:val="24"/>
                <w:highlight w:val="none"/>
              </w:rPr>
              <w:t>监控预警措施</w:t>
            </w:r>
          </w:p>
        </w:tc>
        <w:tc>
          <w:tcPr>
            <w:tcW w:w="5790" w:type="dxa"/>
            <w:vAlign w:val="center"/>
          </w:tcPr>
          <w:p>
            <w:pPr>
              <w:rPr>
                <w:rFonts w:ascii="Times New Roman" w:hAnsi="Times New Roman" w:eastAsia="仿宋"/>
                <w:color w:val="auto"/>
                <w:sz w:val="24"/>
                <w:szCs w:val="24"/>
                <w:highlight w:val="none"/>
              </w:rPr>
            </w:pPr>
            <w:r>
              <w:rPr>
                <w:rFonts w:ascii="Times New Roman" w:hAnsi="Times New Roman" w:eastAsia="仿宋"/>
                <w:color w:val="auto"/>
                <w:sz w:val="24"/>
                <w:szCs w:val="24"/>
                <w:highlight w:val="none"/>
              </w:rPr>
              <w:t>每天安排专人定时巡查</w:t>
            </w:r>
            <w:r>
              <w:rPr>
                <w:rFonts w:hint="eastAsia" w:ascii="Times New Roman" w:hAnsi="Times New Roman" w:eastAsia="仿宋"/>
                <w:color w:val="auto"/>
                <w:sz w:val="24"/>
                <w:szCs w:val="24"/>
                <w:highlight w:val="none"/>
              </w:rPr>
              <w:t>油瓶储存区以及危废暂存间</w:t>
            </w:r>
            <w:r>
              <w:rPr>
                <w:rFonts w:ascii="Times New Roman" w:hAnsi="Times New Roman" w:eastAsia="仿宋"/>
                <w:color w:val="auto"/>
                <w:sz w:val="24"/>
                <w:szCs w:val="24"/>
                <w:highlight w:val="none"/>
              </w:rPr>
              <w:t>，并在厂区设置监控，确保第一时间发现并阻止泄漏。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637" w:hRule="atLeast"/>
          <w:jc w:val="center"/>
        </w:trPr>
        <w:tc>
          <w:tcPr>
            <w:tcW w:w="489" w:type="pct"/>
            <w:vMerge w:val="restart"/>
            <w:vAlign w:val="center"/>
          </w:tcPr>
          <w:p>
            <w:pPr>
              <w:rPr>
                <w:rFonts w:ascii="Times New Roman" w:hAnsi="Times New Roman" w:eastAsia="仿宋"/>
                <w:color w:val="auto"/>
                <w:sz w:val="24"/>
                <w:szCs w:val="24"/>
                <w:highlight w:val="none"/>
              </w:rPr>
            </w:pPr>
            <w:r>
              <w:rPr>
                <w:rFonts w:ascii="Times New Roman" w:hAnsi="Times New Roman" w:eastAsia="仿宋"/>
                <w:color w:val="auto"/>
                <w:sz w:val="24"/>
                <w:szCs w:val="24"/>
                <w:highlight w:val="none"/>
              </w:rPr>
              <w:t>大气环境风险防控措施</w:t>
            </w:r>
          </w:p>
        </w:tc>
        <w:tc>
          <w:tcPr>
            <w:tcW w:w="1190" w:type="pct"/>
            <w:vAlign w:val="center"/>
          </w:tcPr>
          <w:p>
            <w:pPr>
              <w:rPr>
                <w:rFonts w:ascii="Times New Roman" w:hAnsi="Times New Roman" w:eastAsia="仿宋"/>
                <w:color w:val="auto"/>
                <w:sz w:val="24"/>
                <w:szCs w:val="24"/>
                <w:highlight w:val="none"/>
              </w:rPr>
            </w:pPr>
            <w:r>
              <w:rPr>
                <w:rFonts w:ascii="Times New Roman" w:hAnsi="Times New Roman" w:eastAsia="仿宋"/>
                <w:color w:val="auto"/>
                <w:sz w:val="24"/>
                <w:szCs w:val="24"/>
                <w:highlight w:val="none"/>
              </w:rPr>
              <w:t>毒性气体泄露紧急处置措施</w:t>
            </w:r>
          </w:p>
        </w:tc>
        <w:tc>
          <w:tcPr>
            <w:tcW w:w="5790" w:type="dxa"/>
            <w:vAlign w:val="center"/>
          </w:tcPr>
          <w:p>
            <w:pPr>
              <w:ind w:left="210" w:leftChars="100"/>
              <w:jc w:val="center"/>
              <w:rPr>
                <w:rFonts w:ascii="Times New Roman" w:hAnsi="Times New Roman" w:eastAsia="仿宋"/>
                <w:color w:val="auto"/>
                <w:sz w:val="24"/>
                <w:szCs w:val="24"/>
                <w:highlight w:val="none"/>
              </w:rPr>
            </w:pPr>
            <w:r>
              <w:rPr>
                <w:rFonts w:hint="default" w:ascii="Times New Roman" w:hAnsi="Times New Roman" w:eastAsia="仿宋" w:cs="Times New Roman"/>
                <w:color w:val="auto"/>
                <w:sz w:val="24"/>
                <w:szCs w:val="24"/>
              </w:rPr>
              <w:t>企业不涉及毒性气体。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88" w:hRule="atLeast"/>
          <w:jc w:val="center"/>
        </w:trPr>
        <w:tc>
          <w:tcPr>
            <w:tcW w:w="489" w:type="pct"/>
            <w:vMerge w:val="continue"/>
            <w:vAlign w:val="center"/>
          </w:tcPr>
          <w:p>
            <w:pPr>
              <w:rPr>
                <w:rFonts w:ascii="Times New Roman" w:hAnsi="Times New Roman" w:eastAsia="仿宋"/>
                <w:color w:val="auto"/>
                <w:sz w:val="24"/>
                <w:szCs w:val="24"/>
                <w:highlight w:val="none"/>
              </w:rPr>
            </w:pPr>
          </w:p>
        </w:tc>
        <w:tc>
          <w:tcPr>
            <w:tcW w:w="1190" w:type="pct"/>
            <w:vAlign w:val="center"/>
          </w:tcPr>
          <w:p>
            <w:pPr>
              <w:rPr>
                <w:rFonts w:ascii="Times New Roman" w:hAnsi="Times New Roman" w:eastAsia="仿宋"/>
                <w:color w:val="auto"/>
                <w:sz w:val="24"/>
                <w:szCs w:val="24"/>
                <w:highlight w:val="none"/>
              </w:rPr>
            </w:pPr>
            <w:r>
              <w:rPr>
                <w:rFonts w:ascii="Times New Roman" w:hAnsi="Times New Roman" w:eastAsia="仿宋"/>
                <w:color w:val="auto"/>
                <w:sz w:val="24"/>
                <w:szCs w:val="24"/>
                <w:highlight w:val="none"/>
              </w:rPr>
              <w:t>毒性气体泄露监控预警措施</w:t>
            </w:r>
          </w:p>
        </w:tc>
        <w:tc>
          <w:tcPr>
            <w:tcW w:w="5790" w:type="dxa"/>
            <w:vAlign w:val="center"/>
          </w:tcPr>
          <w:p>
            <w:pPr>
              <w:ind w:left="210" w:leftChars="100"/>
              <w:jc w:val="center"/>
              <w:rPr>
                <w:rFonts w:ascii="Times New Roman" w:hAnsi="Times New Roman" w:eastAsia="仿宋"/>
                <w:color w:val="auto"/>
                <w:sz w:val="24"/>
                <w:szCs w:val="24"/>
                <w:highlight w:val="none"/>
              </w:rPr>
            </w:pPr>
            <w:r>
              <w:rPr>
                <w:rFonts w:hint="default" w:ascii="Times New Roman" w:hAnsi="Times New Roman" w:eastAsia="仿宋" w:cs="Times New Roman"/>
                <w:color w:val="auto"/>
                <w:sz w:val="24"/>
                <w:szCs w:val="24"/>
              </w:rPr>
              <w:t>企业不涉及毒性气体。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79" w:type="pct"/>
            <w:gridSpan w:val="2"/>
            <w:vAlign w:val="center"/>
          </w:tcPr>
          <w:p>
            <w:pPr>
              <w:rPr>
                <w:rFonts w:ascii="Times New Roman" w:hAnsi="Times New Roman" w:eastAsia="仿宋"/>
                <w:color w:val="auto"/>
                <w:sz w:val="24"/>
                <w:szCs w:val="24"/>
                <w:highlight w:val="none"/>
              </w:rPr>
            </w:pPr>
            <w:r>
              <w:rPr>
                <w:rFonts w:ascii="Times New Roman" w:hAnsi="Times New Roman" w:eastAsia="仿宋"/>
                <w:color w:val="auto"/>
                <w:sz w:val="24"/>
                <w:szCs w:val="24"/>
                <w:highlight w:val="none"/>
              </w:rPr>
              <w:t>环评批复的其他风险防控措施</w:t>
            </w:r>
          </w:p>
        </w:tc>
        <w:tc>
          <w:tcPr>
            <w:tcW w:w="3320" w:type="pct"/>
            <w:vAlign w:val="center"/>
          </w:tcPr>
          <w:p>
            <w:pPr>
              <w:rPr>
                <w:rFonts w:ascii="Times New Roman" w:hAnsi="Times New Roman" w:eastAsia="仿宋"/>
                <w:color w:val="auto"/>
                <w:sz w:val="24"/>
                <w:szCs w:val="24"/>
                <w:highlight w:val="none"/>
              </w:rPr>
            </w:pPr>
            <w:r>
              <w:rPr>
                <w:rFonts w:ascii="Times New Roman" w:hAnsi="Times New Roman" w:eastAsia="仿宋"/>
                <w:color w:val="auto"/>
                <w:sz w:val="24"/>
                <w:szCs w:val="24"/>
                <w:highlight w:val="none"/>
              </w:rPr>
              <w:t>已按环评批复要求设置风险防控措施。</w:t>
            </w:r>
          </w:p>
        </w:tc>
      </w:tr>
    </w:tbl>
    <w:p>
      <w:pPr>
        <w:pStyle w:val="5"/>
        <w:adjustRightInd/>
        <w:snapToGrid/>
        <w:ind w:firstLine="560"/>
        <w:contextualSpacing/>
        <w:outlineLvl w:val="9"/>
        <w:rPr>
          <w:rFonts w:eastAsia="仿宋"/>
          <w:b/>
          <w:bCs/>
          <w:color w:val="auto"/>
          <w:kern w:val="0"/>
          <w:sz w:val="28"/>
          <w:szCs w:val="28"/>
        </w:rPr>
      </w:pPr>
    </w:p>
    <w:p>
      <w:pPr>
        <w:pStyle w:val="5"/>
        <w:adjustRightInd/>
        <w:snapToGrid/>
        <w:ind w:firstLine="560"/>
        <w:contextualSpacing/>
        <w:outlineLvl w:val="1"/>
        <w:rPr>
          <w:rFonts w:hint="eastAsia" w:eastAsia="仿宋"/>
          <w:color w:val="auto"/>
          <w:kern w:val="0"/>
          <w:sz w:val="28"/>
          <w:szCs w:val="28"/>
        </w:rPr>
      </w:pPr>
      <w:bookmarkStart w:id="245" w:name="_Toc25251"/>
      <w:bookmarkStart w:id="246" w:name="_Toc20249"/>
      <w:r>
        <w:rPr>
          <w:rFonts w:eastAsia="仿宋"/>
          <w:b/>
          <w:bCs/>
          <w:color w:val="auto"/>
          <w:kern w:val="0"/>
          <w:sz w:val="28"/>
          <w:szCs w:val="28"/>
        </w:rPr>
        <w:t>3.6.3清净下水系统防控措施</w:t>
      </w:r>
      <w:bookmarkEnd w:id="244"/>
      <w:bookmarkEnd w:id="245"/>
      <w:bookmarkEnd w:id="246"/>
    </w:p>
    <w:p>
      <w:pPr>
        <w:pStyle w:val="5"/>
        <w:adjustRightInd/>
        <w:snapToGrid/>
        <w:ind w:firstLine="560"/>
        <w:contextualSpacing/>
        <w:rPr>
          <w:rFonts w:hint="eastAsia" w:eastAsia="仿宋"/>
          <w:color w:val="auto"/>
          <w:kern w:val="0"/>
          <w:sz w:val="28"/>
          <w:szCs w:val="28"/>
        </w:rPr>
      </w:pPr>
      <w:r>
        <w:rPr>
          <w:rFonts w:eastAsia="仿宋"/>
          <w:color w:val="auto"/>
          <w:kern w:val="0"/>
          <w:sz w:val="28"/>
          <w:szCs w:val="28"/>
        </w:rPr>
        <w:t>企业不涉及的清净下水。</w:t>
      </w:r>
    </w:p>
    <w:p>
      <w:pPr>
        <w:pStyle w:val="5"/>
        <w:adjustRightInd/>
        <w:snapToGrid/>
        <w:ind w:firstLine="560"/>
        <w:contextualSpacing/>
        <w:outlineLvl w:val="1"/>
        <w:rPr>
          <w:rFonts w:hint="eastAsia" w:eastAsia="仿宋"/>
          <w:b/>
          <w:bCs/>
          <w:color w:val="auto"/>
          <w:kern w:val="0"/>
          <w:sz w:val="28"/>
          <w:szCs w:val="28"/>
        </w:rPr>
      </w:pPr>
      <w:bookmarkStart w:id="247" w:name="_Toc4068"/>
      <w:bookmarkStart w:id="248" w:name="_Toc28129"/>
      <w:bookmarkStart w:id="249" w:name="_Toc28655"/>
      <w:r>
        <w:rPr>
          <w:rFonts w:eastAsia="仿宋"/>
          <w:b/>
          <w:bCs/>
          <w:color w:val="auto"/>
          <w:kern w:val="0"/>
          <w:sz w:val="28"/>
          <w:szCs w:val="28"/>
        </w:rPr>
        <w:t>3.6.4雨水排水系统防控措施</w:t>
      </w:r>
      <w:bookmarkEnd w:id="247"/>
      <w:bookmarkEnd w:id="248"/>
      <w:bookmarkEnd w:id="249"/>
    </w:p>
    <w:p>
      <w:pPr>
        <w:pStyle w:val="5"/>
        <w:adjustRightInd/>
        <w:snapToGrid/>
        <w:ind w:firstLine="560"/>
        <w:contextualSpacing/>
        <w:rPr>
          <w:rFonts w:hint="eastAsia" w:eastAsia="仿宋"/>
          <w:color w:val="auto"/>
          <w:kern w:val="0"/>
          <w:sz w:val="28"/>
          <w:szCs w:val="28"/>
        </w:rPr>
      </w:pPr>
      <w:r>
        <w:rPr>
          <w:rFonts w:hint="eastAsia" w:eastAsia="仿宋"/>
          <w:color w:val="auto"/>
          <w:kern w:val="0"/>
          <w:sz w:val="28"/>
          <w:szCs w:val="28"/>
          <w:lang w:val="en-US" w:eastAsia="zh-CN"/>
        </w:rPr>
        <w:t>项目采用雨污分流制，雨水排入市政雨水管道</w:t>
      </w:r>
      <w:r>
        <w:rPr>
          <w:rFonts w:eastAsia="仿宋"/>
          <w:color w:val="auto"/>
          <w:kern w:val="0"/>
          <w:sz w:val="28"/>
          <w:szCs w:val="28"/>
        </w:rPr>
        <w:t>。</w:t>
      </w:r>
    </w:p>
    <w:p>
      <w:pPr>
        <w:pStyle w:val="5"/>
        <w:adjustRightInd/>
        <w:snapToGrid/>
        <w:ind w:firstLine="560"/>
        <w:contextualSpacing/>
        <w:outlineLvl w:val="1"/>
        <w:rPr>
          <w:rFonts w:hint="eastAsia" w:eastAsia="仿宋"/>
          <w:b/>
          <w:bCs/>
          <w:color w:val="auto"/>
          <w:kern w:val="0"/>
          <w:sz w:val="28"/>
          <w:szCs w:val="28"/>
        </w:rPr>
      </w:pPr>
      <w:bookmarkStart w:id="250" w:name="_Toc9308"/>
      <w:bookmarkStart w:id="251" w:name="_Toc29985"/>
      <w:bookmarkStart w:id="252" w:name="_Toc25987"/>
      <w:r>
        <w:rPr>
          <w:rFonts w:eastAsia="仿宋"/>
          <w:b/>
          <w:bCs/>
          <w:color w:val="auto"/>
          <w:kern w:val="0"/>
          <w:sz w:val="28"/>
          <w:szCs w:val="28"/>
        </w:rPr>
        <w:t>3.6.</w:t>
      </w:r>
      <w:r>
        <w:rPr>
          <w:rFonts w:hint="eastAsia" w:eastAsia="仿宋"/>
          <w:b/>
          <w:bCs/>
          <w:color w:val="auto"/>
          <w:kern w:val="0"/>
          <w:sz w:val="28"/>
          <w:szCs w:val="28"/>
          <w:lang w:val="en-US" w:eastAsia="zh-CN"/>
        </w:rPr>
        <w:t>5</w:t>
      </w:r>
      <w:r>
        <w:rPr>
          <w:rFonts w:eastAsia="仿宋"/>
          <w:b/>
          <w:bCs/>
          <w:color w:val="auto"/>
          <w:kern w:val="0"/>
          <w:sz w:val="28"/>
          <w:szCs w:val="28"/>
        </w:rPr>
        <w:t>事故排水收集措施</w:t>
      </w:r>
      <w:bookmarkEnd w:id="250"/>
    </w:p>
    <w:p>
      <w:pPr>
        <w:pStyle w:val="5"/>
        <w:adjustRightInd/>
        <w:snapToGrid/>
        <w:ind w:firstLine="560"/>
        <w:contextualSpacing/>
        <w:rPr>
          <w:rFonts w:hint="eastAsia" w:eastAsia="仿宋"/>
          <w:color w:val="auto"/>
          <w:kern w:val="0"/>
          <w:sz w:val="28"/>
          <w:szCs w:val="28"/>
          <w:lang w:eastAsia="zh-CN"/>
        </w:rPr>
      </w:pPr>
      <w:r>
        <w:rPr>
          <w:rFonts w:hint="eastAsia" w:eastAsia="仿宋"/>
          <w:color w:val="auto"/>
          <w:kern w:val="0"/>
          <w:sz w:val="28"/>
          <w:szCs w:val="28"/>
        </w:rPr>
        <w:t>周边区域内消防设施协助灭火，采用充气式堵水气囊将消防废水截留在雨水管网内，经应急监测达标并报环保部门批准后纳入市政</w:t>
      </w:r>
      <w:r>
        <w:rPr>
          <w:rFonts w:hint="eastAsia" w:eastAsia="仿宋"/>
          <w:color w:val="auto"/>
          <w:kern w:val="0"/>
          <w:sz w:val="28"/>
          <w:szCs w:val="28"/>
          <w:lang w:val="en-US" w:eastAsia="zh-CN"/>
        </w:rPr>
        <w:t>雨</w:t>
      </w:r>
      <w:r>
        <w:rPr>
          <w:rFonts w:hint="eastAsia" w:eastAsia="仿宋"/>
          <w:color w:val="auto"/>
          <w:kern w:val="0"/>
          <w:sz w:val="28"/>
          <w:szCs w:val="28"/>
        </w:rPr>
        <w:t>水管网排放；如不能满足标准要求时作为危废处理</w:t>
      </w:r>
      <w:r>
        <w:rPr>
          <w:rFonts w:hint="eastAsia" w:eastAsia="仿宋"/>
          <w:color w:val="auto"/>
          <w:kern w:val="0"/>
          <w:sz w:val="28"/>
          <w:szCs w:val="28"/>
          <w:lang w:eastAsia="zh-CN"/>
        </w:rPr>
        <w:t>。</w:t>
      </w:r>
    </w:p>
    <w:p>
      <w:pPr>
        <w:pStyle w:val="5"/>
        <w:adjustRightInd/>
        <w:snapToGrid/>
        <w:ind w:firstLine="560"/>
        <w:contextualSpacing/>
        <w:outlineLvl w:val="1"/>
        <w:rPr>
          <w:rFonts w:hint="eastAsia" w:eastAsia="仿宋"/>
          <w:b/>
          <w:bCs/>
          <w:color w:val="auto"/>
          <w:kern w:val="0"/>
          <w:sz w:val="28"/>
          <w:szCs w:val="28"/>
        </w:rPr>
      </w:pPr>
      <w:bookmarkStart w:id="253" w:name="_Toc14643"/>
      <w:r>
        <w:rPr>
          <w:rFonts w:eastAsia="仿宋"/>
          <w:b/>
          <w:bCs/>
          <w:color w:val="auto"/>
          <w:kern w:val="0"/>
          <w:sz w:val="28"/>
          <w:szCs w:val="28"/>
        </w:rPr>
        <w:t>3.6.</w:t>
      </w:r>
      <w:r>
        <w:rPr>
          <w:rFonts w:hint="eastAsia" w:eastAsia="仿宋"/>
          <w:b/>
          <w:bCs/>
          <w:color w:val="auto"/>
          <w:kern w:val="0"/>
          <w:sz w:val="28"/>
          <w:szCs w:val="28"/>
          <w:lang w:val="en-US" w:eastAsia="zh-CN"/>
        </w:rPr>
        <w:t>6</w:t>
      </w:r>
      <w:r>
        <w:rPr>
          <w:rFonts w:eastAsia="仿宋"/>
          <w:b/>
          <w:bCs/>
          <w:color w:val="auto"/>
          <w:kern w:val="0"/>
          <w:sz w:val="28"/>
          <w:szCs w:val="28"/>
        </w:rPr>
        <w:t>毒性气体泄漏紧急处置措施</w:t>
      </w:r>
      <w:bookmarkEnd w:id="251"/>
      <w:bookmarkEnd w:id="252"/>
      <w:bookmarkEnd w:id="253"/>
    </w:p>
    <w:p>
      <w:pPr>
        <w:pStyle w:val="5"/>
        <w:adjustRightInd/>
        <w:snapToGrid/>
        <w:ind w:firstLine="560"/>
        <w:contextualSpacing/>
        <w:rPr>
          <w:rFonts w:hint="eastAsia" w:eastAsia="仿宋"/>
          <w:color w:val="auto"/>
          <w:kern w:val="0"/>
          <w:sz w:val="28"/>
          <w:szCs w:val="28"/>
        </w:rPr>
      </w:pPr>
      <w:r>
        <w:rPr>
          <w:rFonts w:eastAsia="仿宋"/>
          <w:color w:val="auto"/>
          <w:kern w:val="0"/>
          <w:sz w:val="28"/>
          <w:szCs w:val="28"/>
        </w:rPr>
        <w:t>企业不涉及的有毒有害气体。</w:t>
      </w:r>
    </w:p>
    <w:p>
      <w:pPr>
        <w:pStyle w:val="5"/>
        <w:adjustRightInd/>
        <w:snapToGrid/>
        <w:ind w:firstLine="560"/>
        <w:contextualSpacing/>
        <w:outlineLvl w:val="1"/>
        <w:rPr>
          <w:rFonts w:hint="eastAsia" w:eastAsia="仿宋"/>
          <w:color w:val="auto"/>
          <w:kern w:val="0"/>
          <w:sz w:val="28"/>
          <w:szCs w:val="28"/>
        </w:rPr>
      </w:pPr>
      <w:bookmarkStart w:id="254" w:name="_Toc16265"/>
      <w:bookmarkStart w:id="255" w:name="_Toc29014"/>
      <w:bookmarkStart w:id="256" w:name="_Toc29662"/>
      <w:r>
        <w:rPr>
          <w:rFonts w:eastAsia="仿宋"/>
          <w:b/>
          <w:bCs/>
          <w:color w:val="auto"/>
          <w:kern w:val="0"/>
          <w:sz w:val="28"/>
          <w:szCs w:val="28"/>
        </w:rPr>
        <w:t>3.6.</w:t>
      </w:r>
      <w:r>
        <w:rPr>
          <w:rFonts w:hint="eastAsia" w:eastAsia="仿宋"/>
          <w:b/>
          <w:bCs/>
          <w:color w:val="auto"/>
          <w:kern w:val="0"/>
          <w:sz w:val="28"/>
          <w:szCs w:val="28"/>
          <w:lang w:val="en-US" w:eastAsia="zh-CN"/>
        </w:rPr>
        <w:t>7</w:t>
      </w:r>
      <w:r>
        <w:rPr>
          <w:rFonts w:eastAsia="仿宋"/>
          <w:b/>
          <w:bCs/>
          <w:color w:val="auto"/>
          <w:kern w:val="0"/>
          <w:sz w:val="28"/>
          <w:szCs w:val="28"/>
        </w:rPr>
        <w:t>毒性气体泄漏监控预警措施</w:t>
      </w:r>
      <w:bookmarkEnd w:id="254"/>
      <w:bookmarkEnd w:id="255"/>
      <w:bookmarkEnd w:id="256"/>
    </w:p>
    <w:p>
      <w:pPr>
        <w:pStyle w:val="5"/>
        <w:adjustRightInd/>
        <w:snapToGrid/>
        <w:ind w:firstLine="560"/>
        <w:contextualSpacing/>
        <w:rPr>
          <w:rFonts w:hint="eastAsia" w:eastAsia="仿宋"/>
          <w:color w:val="auto"/>
          <w:kern w:val="0"/>
          <w:sz w:val="28"/>
          <w:szCs w:val="28"/>
        </w:rPr>
      </w:pPr>
      <w:r>
        <w:rPr>
          <w:rFonts w:eastAsia="仿宋"/>
          <w:color w:val="auto"/>
          <w:kern w:val="0"/>
          <w:sz w:val="28"/>
          <w:szCs w:val="28"/>
        </w:rPr>
        <w:t>企业不涉及的有毒有害气体。</w:t>
      </w:r>
    </w:p>
    <w:bookmarkEnd w:id="230"/>
    <w:bookmarkEnd w:id="231"/>
    <w:bookmarkEnd w:id="232"/>
    <w:bookmarkEnd w:id="233"/>
    <w:bookmarkEnd w:id="234"/>
    <w:bookmarkEnd w:id="235"/>
    <w:bookmarkEnd w:id="236"/>
    <w:bookmarkEnd w:id="237"/>
    <w:bookmarkEnd w:id="238"/>
    <w:bookmarkEnd w:id="239"/>
    <w:p>
      <w:pPr>
        <w:pStyle w:val="4"/>
        <w:bidi w:val="0"/>
        <w:outlineLvl w:val="0"/>
        <w:rPr>
          <w:rFonts w:hint="default" w:ascii="Times New Roman" w:hAnsi="Times New Roman" w:eastAsia="仿宋" w:cs="Times New Roman"/>
          <w:color w:val="auto"/>
          <w:sz w:val="28"/>
          <w:szCs w:val="28"/>
          <w:lang w:val="en-US" w:eastAsia="zh-CN"/>
        </w:rPr>
      </w:pPr>
      <w:bookmarkStart w:id="257" w:name="_Toc3180"/>
      <w:bookmarkStart w:id="258" w:name="_Toc19449"/>
      <w:bookmarkStart w:id="259" w:name="_Toc19989"/>
      <w:bookmarkStart w:id="260" w:name="_Toc10049"/>
      <w:bookmarkStart w:id="261" w:name="_Toc425361282"/>
      <w:bookmarkStart w:id="262" w:name="_Toc22350_WPSOffice_Level2"/>
      <w:bookmarkStart w:id="263" w:name="_Toc425360295"/>
      <w:bookmarkStart w:id="264" w:name="_Toc31002"/>
      <w:bookmarkStart w:id="265" w:name="_Toc8993_WPSOffice_Level2"/>
      <w:bookmarkStart w:id="266" w:name="_Toc4165"/>
      <w:r>
        <w:rPr>
          <w:rFonts w:hint="eastAsia" w:eastAsia="仿宋" w:cs="Times New Roman"/>
          <w:color w:val="auto"/>
          <w:sz w:val="28"/>
          <w:szCs w:val="28"/>
          <w:lang w:val="en-US" w:eastAsia="zh-CN"/>
        </w:rPr>
        <w:t>3.6.8企业已采取及拟采取的环境应急措施</w:t>
      </w:r>
      <w:bookmarkEnd w:id="257"/>
    </w:p>
    <w:p>
      <w:pPr>
        <w:pStyle w:val="4"/>
        <w:bidi w:val="0"/>
        <w:outlineLvl w:val="0"/>
        <w:rPr>
          <w:rFonts w:hint="default" w:ascii="Times New Roman" w:hAnsi="Times New Roman" w:eastAsia="仿宋" w:cs="Times New Roman"/>
          <w:color w:val="auto"/>
          <w:sz w:val="28"/>
          <w:szCs w:val="28"/>
        </w:rPr>
      </w:pPr>
      <w:bookmarkStart w:id="267" w:name="_Toc15042"/>
      <w:r>
        <w:rPr>
          <w:rFonts w:ascii="Times New Roman" w:hAnsi="Times New Roman" w:eastAsia="仿宋"/>
          <w:b/>
          <w:color w:val="auto"/>
          <w:sz w:val="24"/>
          <w:szCs w:val="24"/>
          <w:highlight w:val="none"/>
        </w:rPr>
        <w:t>表3.6-</w:t>
      </w:r>
      <w:r>
        <w:rPr>
          <w:rFonts w:hint="eastAsia" w:eastAsia="仿宋"/>
          <w:b/>
          <w:color w:val="auto"/>
          <w:sz w:val="24"/>
          <w:szCs w:val="24"/>
          <w:highlight w:val="none"/>
          <w:lang w:val="en-US" w:eastAsia="zh-CN"/>
        </w:rPr>
        <w:t>2</w:t>
      </w:r>
      <w:r>
        <w:rPr>
          <w:rFonts w:ascii="Times New Roman" w:hAnsi="Times New Roman" w:eastAsia="仿宋"/>
          <w:b/>
          <w:color w:val="auto"/>
          <w:sz w:val="24"/>
          <w:szCs w:val="24"/>
          <w:highlight w:val="none"/>
        </w:rPr>
        <w:t xml:space="preserve">  </w:t>
      </w:r>
      <w:r>
        <w:rPr>
          <w:rFonts w:hint="eastAsia" w:ascii="Times New Roman" w:hAnsi="Times New Roman" w:eastAsia="仿宋"/>
          <w:b/>
          <w:color w:val="auto"/>
          <w:sz w:val="24"/>
          <w:szCs w:val="24"/>
          <w:highlight w:val="none"/>
        </w:rPr>
        <w:t>企业已采取及拟采取的环境应急措施</w:t>
      </w:r>
      <w:bookmarkEnd w:id="267"/>
    </w:p>
    <w:tbl>
      <w:tblPr>
        <w:tblStyle w:val="16"/>
        <w:tblW w:w="4999" w:type="pct"/>
        <w:jc w:val="center"/>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790"/>
        <w:gridCol w:w="4379"/>
        <w:gridCol w:w="3351"/>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464" w:type="pct"/>
            <w:noWrap w:val="0"/>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序号</w:t>
            </w:r>
          </w:p>
        </w:tc>
        <w:tc>
          <w:tcPr>
            <w:tcW w:w="2569" w:type="pct"/>
            <w:noWrap w:val="0"/>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已采取的环境应急措施</w:t>
            </w:r>
          </w:p>
        </w:tc>
        <w:tc>
          <w:tcPr>
            <w:tcW w:w="1966" w:type="pct"/>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拟采取的环境应急措施</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464" w:type="pct"/>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w:t>
            </w:r>
          </w:p>
        </w:tc>
        <w:tc>
          <w:tcPr>
            <w:tcW w:w="2569" w:type="pct"/>
            <w:noWrap w:val="0"/>
            <w:vAlign w:val="center"/>
          </w:tcPr>
          <w:p>
            <w:pPr>
              <w:ind w:left="0" w:leftChars="0" w:firstLine="480" w:firstLineChars="20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由专人每天不定期巡查，以便及时发现隐患及时处理</w:t>
            </w:r>
          </w:p>
        </w:tc>
        <w:tc>
          <w:tcPr>
            <w:tcW w:w="1966" w:type="pct"/>
            <w:noWrap w:val="0"/>
            <w:vAlign w:val="center"/>
          </w:tcPr>
          <w:p>
            <w:pPr>
              <w:ind w:left="0" w:leftChars="0" w:firstLine="480" w:firstLineChars="200"/>
              <w:jc w:val="both"/>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制定环境监测制度和监测计划。由此可根据运行期间的环境监测结果得到的反馈信息，发现区内出现的环境问题并及时加以解决，避免出现环境污染</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464" w:type="pct"/>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w:t>
            </w:r>
          </w:p>
        </w:tc>
        <w:tc>
          <w:tcPr>
            <w:tcW w:w="2569" w:type="pct"/>
            <w:noWrap w:val="0"/>
            <w:vAlign w:val="center"/>
          </w:tcPr>
          <w:p>
            <w:pPr>
              <w:ind w:left="0" w:leftChars="0" w:firstLine="480" w:firstLineChars="20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highlight w:val="none"/>
                <w:lang w:val="en-US" w:eastAsia="zh-CN"/>
              </w:rPr>
              <w:t>定期对员工进行操作培训，加强员工的风险防范意识，制定赏罚制度</w:t>
            </w:r>
          </w:p>
        </w:tc>
        <w:tc>
          <w:tcPr>
            <w:tcW w:w="1966" w:type="pct"/>
            <w:noWrap w:val="0"/>
            <w:vAlign w:val="center"/>
          </w:tcPr>
          <w:p>
            <w:pPr>
              <w:ind w:left="0" w:leftChars="0" w:firstLine="480" w:firstLineChars="200"/>
              <w:jc w:val="both"/>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严格执行突发环境事件信息报送制度，畅通信息报送渠道，发生环境事件后，按照信息报送要求，在规定的报告时限内，及时准确向上级报告。</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464" w:type="pct"/>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3</w:t>
            </w:r>
          </w:p>
        </w:tc>
        <w:tc>
          <w:tcPr>
            <w:tcW w:w="2569" w:type="pct"/>
            <w:noWrap w:val="0"/>
            <w:vAlign w:val="center"/>
          </w:tcPr>
          <w:p>
            <w:pPr>
              <w:ind w:left="0" w:leftChars="0" w:firstLine="480" w:firstLineChars="20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明确环保内部环境应急分工，完善应急值守、信息上报、应急响应等相关工作制度和程序，理顺环境应急管理体制。</w:t>
            </w:r>
          </w:p>
        </w:tc>
        <w:tc>
          <w:tcPr>
            <w:tcW w:w="1966" w:type="pct"/>
            <w:noWrap w:val="0"/>
            <w:vAlign w:val="center"/>
          </w:tcPr>
          <w:p>
            <w:pPr>
              <w:ind w:left="0" w:leftChars="0" w:firstLine="480" w:firstLineChars="200"/>
              <w:jc w:val="both"/>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检查、督促做好环境污染事故的预防措施和应急救援的各项准备工作，督促、协助有关部门及时消除有毒有害介质的跑、冒、滴、漏。</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464" w:type="pct"/>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4</w:t>
            </w:r>
          </w:p>
        </w:tc>
        <w:tc>
          <w:tcPr>
            <w:tcW w:w="2569" w:type="pct"/>
            <w:noWrap w:val="0"/>
            <w:vAlign w:val="center"/>
          </w:tcPr>
          <w:p>
            <w:pPr>
              <w:ind w:left="0" w:leftChars="0" w:firstLine="480" w:firstLineChars="200"/>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储存点地面做防渗防腐蚀，废暂存间内设有围堰，危险物质泄漏仅局限于围堰内。若在围堰内发生泄漏，用抹布尽快擦拭泄漏物，并迅速对泄漏点进行堵漏或转移，采用细沙截流，防止流出围堰进一步污染水体。</w:t>
            </w:r>
          </w:p>
        </w:tc>
        <w:tc>
          <w:tcPr>
            <w:tcW w:w="1966" w:type="pct"/>
            <w:noWrap w:val="0"/>
            <w:vAlign w:val="center"/>
          </w:tcPr>
          <w:p>
            <w:pPr>
              <w:ind w:left="0" w:leftChars="0" w:firstLine="480" w:firstLineChars="200"/>
              <w:jc w:val="both"/>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构建环境应急信息化平台，整合环境应急信息数据库、污染源监控、环境监测等各种资源，为环境事件信息搜集汇总、分析判断、快速反应以及应急联动提供保障。</w:t>
            </w:r>
          </w:p>
          <w:p>
            <w:pPr>
              <w:ind w:left="0" w:leftChars="0"/>
              <w:jc w:val="center"/>
              <w:rPr>
                <w:rFonts w:hint="default" w:ascii="Times New Roman" w:hAnsi="Times New Roman" w:eastAsia="仿宋" w:cs="Times New Roman"/>
                <w:color w:val="auto"/>
                <w:sz w:val="24"/>
                <w:szCs w:val="24"/>
                <w:highlight w:val="none"/>
                <w:lang w:val="en-US" w:eastAsia="zh-CN"/>
              </w:rPr>
            </w:pPr>
          </w:p>
        </w:tc>
      </w:tr>
    </w:tbl>
    <w:p>
      <w:pPr>
        <w:pStyle w:val="4"/>
        <w:bidi w:val="0"/>
        <w:ind w:left="0" w:leftChars="0" w:firstLine="562" w:firstLineChars="200"/>
        <w:outlineLvl w:val="0"/>
        <w:rPr>
          <w:rFonts w:hint="default" w:ascii="Times New Roman" w:hAnsi="Times New Roman" w:eastAsia="仿宋" w:cs="Times New Roman"/>
          <w:color w:val="auto"/>
        </w:rPr>
      </w:pPr>
      <w:bookmarkStart w:id="268" w:name="_Toc4786"/>
      <w:r>
        <w:rPr>
          <w:rFonts w:hint="default" w:ascii="Times New Roman" w:hAnsi="Times New Roman" w:eastAsia="仿宋" w:cs="Times New Roman"/>
          <w:color w:val="auto"/>
          <w:sz w:val="28"/>
          <w:szCs w:val="28"/>
        </w:rPr>
        <w:t>3.7现有应急物资与装备、救援队伍情况</w:t>
      </w:r>
      <w:bookmarkEnd w:id="258"/>
      <w:bookmarkEnd w:id="259"/>
      <w:bookmarkEnd w:id="260"/>
      <w:bookmarkEnd w:id="268"/>
    </w:p>
    <w:p>
      <w:pPr>
        <w:pStyle w:val="4"/>
        <w:bidi w:val="0"/>
        <w:outlineLvl w:val="1"/>
        <w:rPr>
          <w:rFonts w:hint="default" w:ascii="Times New Roman" w:hAnsi="Times New Roman" w:eastAsia="仿宋" w:cs="Times New Roman"/>
          <w:color w:val="auto"/>
        </w:rPr>
      </w:pPr>
      <w:bookmarkStart w:id="269" w:name="_Toc26527"/>
      <w:bookmarkStart w:id="270" w:name="_Toc15423"/>
      <w:bookmarkStart w:id="271" w:name="_Toc516"/>
      <w:r>
        <w:rPr>
          <w:rFonts w:hint="default" w:ascii="Times New Roman" w:hAnsi="Times New Roman" w:eastAsia="仿宋" w:cs="Times New Roman"/>
          <w:color w:val="auto"/>
        </w:rPr>
        <w:t>3.7.1现有应急物资与装备</w:t>
      </w:r>
      <w:bookmarkEnd w:id="261"/>
      <w:bookmarkEnd w:id="262"/>
      <w:bookmarkEnd w:id="263"/>
      <w:bookmarkEnd w:id="264"/>
      <w:bookmarkEnd w:id="265"/>
      <w:bookmarkEnd w:id="266"/>
      <w:bookmarkEnd w:id="269"/>
      <w:bookmarkEnd w:id="270"/>
      <w:bookmarkEnd w:id="271"/>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color w:val="auto"/>
          <w:sz w:val="28"/>
          <w:szCs w:val="28"/>
        </w:rPr>
        <w:t>现有物资及装备见表3.7-1。</w:t>
      </w:r>
    </w:p>
    <w:p>
      <w:pPr>
        <w:pageBreakBefore w:val="0"/>
        <w:widowControl w:val="0"/>
        <w:kinsoku/>
        <w:wordWrap/>
        <w:overflowPunct/>
        <w:topLinePunct w:val="0"/>
        <w:autoSpaceDE/>
        <w:autoSpaceDN/>
        <w:bidi w:val="0"/>
        <w:adjustRightInd w:val="0"/>
        <w:snapToGrid w:val="0"/>
        <w:spacing w:line="360" w:lineRule="auto"/>
        <w:ind w:firstLine="482" w:firstLineChars="20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表3.7-1  企业现有物资及装备一览表</w:t>
      </w:r>
    </w:p>
    <w:tbl>
      <w:tblPr>
        <w:tblStyle w:val="16"/>
        <w:tblW w:w="573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838"/>
        <w:gridCol w:w="2295"/>
        <w:gridCol w:w="1294"/>
        <w:gridCol w:w="698"/>
        <w:gridCol w:w="235"/>
        <w:gridCol w:w="1067"/>
        <w:gridCol w:w="121"/>
        <w:gridCol w:w="225"/>
        <w:gridCol w:w="1188"/>
        <w:gridCol w:w="230"/>
        <w:gridCol w:w="135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5000" w:type="pct"/>
            <w:gridSpan w:val="11"/>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bookmarkStart w:id="272" w:name="_Toc3645"/>
            <w:bookmarkStart w:id="273" w:name="_Toc8068_WPSOffice_Level2"/>
            <w:bookmarkStart w:id="274" w:name="_Toc15446"/>
            <w:bookmarkStart w:id="275" w:name="_Toc1532"/>
            <w:bookmarkStart w:id="276" w:name="_Toc6012_WPSOffice_Level2"/>
            <w:bookmarkStart w:id="277" w:name="_Toc26586"/>
            <w:r>
              <w:rPr>
                <w:rFonts w:hint="default" w:ascii="Times New Roman" w:hAnsi="Times New Roman" w:eastAsia="仿宋" w:cs="Times New Roman"/>
                <w:color w:val="auto"/>
                <w:sz w:val="24"/>
                <w:szCs w:val="24"/>
                <w:highlight w:val="none"/>
              </w:rPr>
              <w:t>应急物资库基本信息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79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所在地</w:t>
            </w:r>
          </w:p>
        </w:tc>
        <w:tc>
          <w:tcPr>
            <w:tcW w:w="2246" w:type="pct"/>
            <w:gridSpan w:val="3"/>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陕西省西咸新区秦汉新城咸红路69号</w:t>
            </w:r>
          </w:p>
        </w:tc>
        <w:tc>
          <w:tcPr>
            <w:tcW w:w="681"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经纬度</w:t>
            </w:r>
          </w:p>
        </w:tc>
        <w:tc>
          <w:tcPr>
            <w:tcW w:w="1633" w:type="pct"/>
            <w:gridSpan w:val="5"/>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kern w:val="0"/>
                <w:sz w:val="24"/>
                <w:szCs w:val="24"/>
                <w:highlight w:val="none"/>
                <w:lang w:eastAsia="zh-CN"/>
              </w:rPr>
            </w:pPr>
            <w:r>
              <w:rPr>
                <w:rFonts w:hint="eastAsia" w:ascii="Times New Roman" w:hAnsi="Times New Roman" w:eastAsia="仿宋" w:cs="Times New Roman"/>
                <w:color w:val="auto"/>
                <w:kern w:val="0"/>
                <w:sz w:val="24"/>
                <w:szCs w:val="24"/>
                <w:highlight w:val="none"/>
                <w:lang w:val="en-US" w:eastAsia="zh-CN"/>
              </w:rPr>
              <w:t xml:space="preserve"> </w:t>
            </w:r>
            <w:r>
              <w:rPr>
                <w:rFonts w:hint="default" w:ascii="Times New Roman" w:hAnsi="Times New Roman" w:eastAsia="仿宋" w:cs="Times New Roman"/>
                <w:color w:val="auto"/>
                <w:kern w:val="0"/>
                <w:sz w:val="24"/>
                <w:szCs w:val="24"/>
                <w:highlight w:val="none"/>
                <w:lang w:eastAsia="zh-CN"/>
              </w:rPr>
              <w:t>E10</w:t>
            </w:r>
            <w:r>
              <w:rPr>
                <w:rFonts w:hint="eastAsia" w:ascii="Times New Roman" w:hAnsi="Times New Roman" w:eastAsia="仿宋" w:cs="Times New Roman"/>
                <w:color w:val="auto"/>
                <w:kern w:val="0"/>
                <w:sz w:val="24"/>
                <w:szCs w:val="24"/>
                <w:highlight w:val="none"/>
                <w:lang w:val="en-US" w:eastAsia="zh-CN"/>
              </w:rPr>
              <w:t>8</w:t>
            </w:r>
            <w:r>
              <w:rPr>
                <w:rFonts w:hint="default" w:ascii="Times New Roman" w:hAnsi="Times New Roman" w:eastAsia="仿宋" w:cs="Times New Roman"/>
                <w:color w:val="auto"/>
                <w:kern w:val="0"/>
                <w:sz w:val="24"/>
                <w:szCs w:val="24"/>
                <w:highlight w:val="none"/>
                <w:lang w:eastAsia="zh-CN"/>
              </w:rPr>
              <w:t>°</w:t>
            </w:r>
            <w:r>
              <w:rPr>
                <w:rFonts w:hint="eastAsia" w:ascii="Times New Roman" w:hAnsi="Times New Roman" w:eastAsia="仿宋" w:cs="Times New Roman"/>
                <w:color w:val="auto"/>
                <w:kern w:val="0"/>
                <w:sz w:val="24"/>
                <w:szCs w:val="24"/>
                <w:highlight w:val="none"/>
                <w:lang w:val="en-US" w:eastAsia="zh-CN"/>
              </w:rPr>
              <w:t>77</w:t>
            </w:r>
            <w:r>
              <w:rPr>
                <w:rFonts w:hint="default" w:ascii="Times New Roman" w:hAnsi="Times New Roman" w:eastAsia="仿宋" w:cs="Times New Roman"/>
                <w:color w:val="auto"/>
                <w:kern w:val="0"/>
                <w:sz w:val="24"/>
                <w:szCs w:val="24"/>
                <w:highlight w:val="none"/>
                <w:lang w:eastAsia="zh-CN"/>
              </w:rPr>
              <w:t>′</w:t>
            </w:r>
            <w:r>
              <w:rPr>
                <w:rFonts w:hint="eastAsia" w:ascii="Times New Roman" w:hAnsi="Times New Roman" w:eastAsia="仿宋" w:cs="Times New Roman"/>
                <w:color w:val="auto"/>
                <w:kern w:val="0"/>
                <w:sz w:val="24"/>
                <w:szCs w:val="24"/>
                <w:highlight w:val="none"/>
                <w:lang w:val="en-US" w:eastAsia="zh-CN"/>
              </w:rPr>
              <w:t>59</w:t>
            </w:r>
            <w:r>
              <w:rPr>
                <w:rFonts w:hint="default" w:ascii="Times New Roman" w:hAnsi="Times New Roman" w:eastAsia="仿宋" w:cs="Times New Roman"/>
                <w:color w:val="auto"/>
                <w:kern w:val="0"/>
                <w:sz w:val="24"/>
                <w:szCs w:val="24"/>
                <w:highlight w:val="none"/>
                <w:lang w:eastAsia="zh-CN"/>
              </w:rPr>
              <w:t>.</w:t>
            </w:r>
            <w:r>
              <w:rPr>
                <w:rFonts w:hint="eastAsia" w:ascii="Times New Roman" w:hAnsi="Times New Roman" w:eastAsia="仿宋" w:cs="Times New Roman"/>
                <w:color w:val="auto"/>
                <w:kern w:val="0"/>
                <w:sz w:val="24"/>
                <w:szCs w:val="24"/>
                <w:highlight w:val="none"/>
                <w:lang w:val="en-US" w:eastAsia="zh-CN"/>
              </w:rPr>
              <w:t>729</w:t>
            </w:r>
            <w:r>
              <w:rPr>
                <w:rFonts w:hint="default" w:ascii="Times New Roman" w:hAnsi="Times New Roman" w:eastAsia="仿宋" w:cs="Times New Roman"/>
                <w:color w:val="auto"/>
                <w:kern w:val="0"/>
                <w:sz w:val="24"/>
                <w:szCs w:val="24"/>
                <w:highlight w:val="none"/>
                <w:lang w:eastAsia="zh-CN"/>
              </w:rPr>
              <w:t>″</w:t>
            </w:r>
          </w:p>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kern w:val="0"/>
                <w:sz w:val="24"/>
                <w:szCs w:val="24"/>
                <w:highlight w:val="none"/>
                <w:lang w:eastAsia="zh-CN"/>
              </w:rPr>
              <w:t>N3</w:t>
            </w:r>
            <w:r>
              <w:rPr>
                <w:rFonts w:hint="eastAsia" w:ascii="Times New Roman" w:hAnsi="Times New Roman" w:eastAsia="仿宋" w:cs="Times New Roman"/>
                <w:color w:val="auto"/>
                <w:kern w:val="0"/>
                <w:sz w:val="24"/>
                <w:szCs w:val="24"/>
                <w:highlight w:val="none"/>
                <w:lang w:val="en-US" w:eastAsia="zh-CN"/>
              </w:rPr>
              <w:t>4</w:t>
            </w:r>
            <w:r>
              <w:rPr>
                <w:rFonts w:hint="default" w:ascii="Times New Roman" w:hAnsi="Times New Roman" w:eastAsia="仿宋" w:cs="Times New Roman"/>
                <w:color w:val="auto"/>
                <w:kern w:val="0"/>
                <w:sz w:val="24"/>
                <w:szCs w:val="24"/>
                <w:highlight w:val="none"/>
                <w:lang w:eastAsia="zh-CN"/>
              </w:rPr>
              <w:t>°</w:t>
            </w:r>
            <w:r>
              <w:rPr>
                <w:rFonts w:hint="eastAsia" w:ascii="Times New Roman" w:hAnsi="Times New Roman" w:eastAsia="仿宋" w:cs="Times New Roman"/>
                <w:color w:val="auto"/>
                <w:kern w:val="0"/>
                <w:sz w:val="24"/>
                <w:szCs w:val="24"/>
                <w:highlight w:val="none"/>
                <w:lang w:val="en-US" w:eastAsia="zh-CN"/>
              </w:rPr>
              <w:t>37</w:t>
            </w:r>
            <w:r>
              <w:rPr>
                <w:rFonts w:hint="default" w:ascii="Times New Roman" w:hAnsi="Times New Roman" w:eastAsia="仿宋" w:cs="Times New Roman"/>
                <w:color w:val="auto"/>
                <w:kern w:val="0"/>
                <w:sz w:val="24"/>
                <w:szCs w:val="24"/>
                <w:highlight w:val="none"/>
                <w:lang w:eastAsia="zh-CN"/>
              </w:rPr>
              <w:t>′</w:t>
            </w:r>
            <w:r>
              <w:rPr>
                <w:rFonts w:hint="eastAsia" w:ascii="Times New Roman" w:hAnsi="Times New Roman" w:eastAsia="仿宋" w:cs="Times New Roman"/>
                <w:color w:val="auto"/>
                <w:kern w:val="0"/>
                <w:sz w:val="24"/>
                <w:szCs w:val="24"/>
                <w:highlight w:val="none"/>
                <w:lang w:val="en-US" w:eastAsia="zh-CN"/>
              </w:rPr>
              <w:t>49</w:t>
            </w:r>
            <w:r>
              <w:rPr>
                <w:rFonts w:hint="default" w:ascii="Times New Roman" w:hAnsi="Times New Roman" w:eastAsia="仿宋" w:cs="Times New Roman"/>
                <w:color w:val="auto"/>
                <w:kern w:val="0"/>
                <w:sz w:val="24"/>
                <w:szCs w:val="24"/>
                <w:highlight w:val="none"/>
                <w:lang w:eastAsia="zh-CN"/>
              </w:rPr>
              <w:t>.</w:t>
            </w:r>
            <w:r>
              <w:rPr>
                <w:rFonts w:hint="eastAsia" w:ascii="Times New Roman" w:hAnsi="Times New Roman" w:eastAsia="仿宋" w:cs="Times New Roman"/>
                <w:color w:val="auto"/>
                <w:kern w:val="0"/>
                <w:sz w:val="24"/>
                <w:szCs w:val="24"/>
                <w:highlight w:val="none"/>
                <w:lang w:val="en-US" w:eastAsia="zh-CN"/>
              </w:rPr>
              <w:t>100</w:t>
            </w:r>
            <w:r>
              <w:rPr>
                <w:rFonts w:hint="default" w:ascii="Times New Roman" w:hAnsi="Times New Roman" w:eastAsia="仿宋" w:cs="Times New Roman"/>
                <w:color w:val="auto"/>
                <w:kern w:val="0"/>
                <w:sz w:val="24"/>
                <w:szCs w:val="24"/>
                <w:highlight w:val="none"/>
                <w:lang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6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所属</w:t>
            </w:r>
            <w:r>
              <w:rPr>
                <w:rFonts w:hint="eastAsia" w:ascii="Times New Roman" w:hAnsi="Times New Roman" w:eastAsia="仿宋" w:cs="Times New Roman"/>
                <w:color w:val="auto"/>
                <w:sz w:val="24"/>
                <w:szCs w:val="24"/>
                <w:highlight w:val="none"/>
                <w:lang w:val="en-US" w:eastAsia="zh-CN"/>
              </w:rPr>
              <w:t xml:space="preserve">  </w:t>
            </w:r>
            <w:r>
              <w:rPr>
                <w:rFonts w:hint="default" w:ascii="Times New Roman" w:hAnsi="Times New Roman" w:eastAsia="仿宋" w:cs="Times New Roman"/>
                <w:color w:val="auto"/>
                <w:sz w:val="24"/>
                <w:szCs w:val="24"/>
                <w:highlight w:val="none"/>
              </w:rPr>
              <w:t>单位</w:t>
            </w:r>
          </w:p>
        </w:tc>
        <w:tc>
          <w:tcPr>
            <w:tcW w:w="4560" w:type="pct"/>
            <w:gridSpan w:val="10"/>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九冶钢结构有限公司</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439" w:type="pct"/>
            <w:vMerge w:val="restar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负责人</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姓名</w:t>
            </w:r>
          </w:p>
        </w:tc>
        <w:tc>
          <w:tcPr>
            <w:tcW w:w="1166" w:type="pct"/>
            <w:gridSpan w:val="3"/>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eastAsia" w:ascii="仿宋" w:hAnsi="仿宋" w:eastAsia="仿宋" w:cs="仿宋"/>
                <w:b w:val="0"/>
                <w:bCs/>
                <w:color w:val="auto"/>
                <w:kern w:val="0"/>
                <w:sz w:val="24"/>
                <w:szCs w:val="24"/>
                <w:highlight w:val="none"/>
                <w:lang w:val="en-US" w:eastAsia="zh-CN" w:bidi="en-US"/>
              </w:rPr>
              <w:t>余文平</w:t>
            </w:r>
          </w:p>
        </w:tc>
        <w:tc>
          <w:tcPr>
            <w:tcW w:w="740" w:type="pct"/>
            <w:gridSpan w:val="3"/>
            <w:vMerge w:val="restar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联系人</w:t>
            </w:r>
          </w:p>
        </w:tc>
        <w:tc>
          <w:tcPr>
            <w:tcW w:w="62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姓名</w:t>
            </w:r>
          </w:p>
        </w:tc>
        <w:tc>
          <w:tcPr>
            <w:tcW w:w="829"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bCs/>
                <w:color w:val="auto"/>
                <w:kern w:val="2"/>
                <w:sz w:val="24"/>
                <w:szCs w:val="24"/>
                <w:highlight w:val="none"/>
                <w:lang w:val="en-US" w:eastAsia="zh-CN" w:bidi="ar-SA"/>
              </w:rPr>
            </w:pPr>
            <w:r>
              <w:rPr>
                <w:rFonts w:hint="eastAsia" w:ascii="仿宋" w:hAnsi="仿宋" w:eastAsia="仿宋" w:cs="仿宋"/>
                <w:b w:val="0"/>
                <w:bCs/>
                <w:color w:val="auto"/>
                <w:kern w:val="0"/>
                <w:sz w:val="24"/>
                <w:szCs w:val="24"/>
                <w:highlight w:val="none"/>
                <w:lang w:val="en-US" w:eastAsia="zh-CN" w:bidi="en-US"/>
              </w:rPr>
              <w:t>余文平</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43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联系方式</w:t>
            </w:r>
          </w:p>
        </w:tc>
        <w:tc>
          <w:tcPr>
            <w:tcW w:w="1166" w:type="pct"/>
            <w:gridSpan w:val="3"/>
            <w:noWrap w:val="0"/>
            <w:vAlign w:val="center"/>
          </w:tcPr>
          <w:p>
            <w:pPr>
              <w:widowControl/>
              <w:adjustRightInd/>
              <w:snapToGrid w:val="0"/>
              <w:spacing w:line="240" w:lineRule="auto"/>
              <w:ind w:firstLine="0" w:firstLineChars="0"/>
              <w:jc w:val="center"/>
              <w:rPr>
                <w:rFonts w:hint="default" w:ascii="Times New Roman" w:hAnsi="Times New Roman" w:eastAsia="仿宋" w:cs="Times New Roman"/>
                <w:b w:val="0"/>
                <w:bCs/>
                <w:color w:val="auto"/>
                <w:kern w:val="0"/>
                <w:sz w:val="24"/>
                <w:szCs w:val="24"/>
                <w:highlight w:val="none"/>
                <w:lang w:val="en-US" w:eastAsia="zh-CN" w:bidi="en-US"/>
              </w:rPr>
            </w:pPr>
            <w:r>
              <w:rPr>
                <w:rFonts w:hint="eastAsia" w:ascii="Times New Roman" w:hAnsi="Times New Roman" w:cs="Times New Roman"/>
                <w:b w:val="0"/>
                <w:bCs/>
                <w:color w:val="auto"/>
                <w:kern w:val="0"/>
                <w:sz w:val="24"/>
                <w:szCs w:val="20"/>
                <w:highlight w:val="none"/>
                <w:lang w:val="en-US" w:eastAsia="zh-CN"/>
              </w:rPr>
              <w:t>13619180823</w:t>
            </w:r>
          </w:p>
        </w:tc>
        <w:tc>
          <w:tcPr>
            <w:tcW w:w="740" w:type="pct"/>
            <w:gridSpan w:val="3"/>
            <w:vMerge w:val="continue"/>
            <w:noWrap w:val="0"/>
            <w:vAlign w:val="center"/>
          </w:tcPr>
          <w:p>
            <w:pPr>
              <w:adjustRightInd w:val="0"/>
              <w:snapToGrid w:val="0"/>
              <w:spacing w:before="249" w:beforeLines="80" w:after="100" w:afterLines="0" w:afterAutospacing="1"/>
              <w:jc w:val="center"/>
              <w:rPr>
                <w:rFonts w:hint="default" w:ascii="Times New Roman" w:hAnsi="Times New Roman" w:eastAsia="仿宋" w:cs="Times New Roman"/>
                <w:color w:val="auto"/>
                <w:sz w:val="24"/>
                <w:szCs w:val="24"/>
                <w:highlight w:val="none"/>
              </w:rPr>
            </w:pPr>
          </w:p>
        </w:tc>
        <w:tc>
          <w:tcPr>
            <w:tcW w:w="62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联系方式</w:t>
            </w:r>
          </w:p>
        </w:tc>
        <w:tc>
          <w:tcPr>
            <w:tcW w:w="829" w:type="pct"/>
            <w:gridSpan w:val="2"/>
            <w:noWrap w:val="0"/>
            <w:vAlign w:val="center"/>
          </w:tcPr>
          <w:p>
            <w:pPr>
              <w:widowControl/>
              <w:adjustRightInd/>
              <w:snapToGrid w:val="0"/>
              <w:spacing w:line="240" w:lineRule="auto"/>
              <w:ind w:firstLine="0" w:firstLineChars="0"/>
              <w:jc w:val="center"/>
              <w:rPr>
                <w:rFonts w:hint="default" w:ascii="Times New Roman" w:hAnsi="Times New Roman" w:eastAsia="仿宋" w:cs="Times New Roman"/>
                <w:bCs/>
                <w:color w:val="auto"/>
                <w:kern w:val="2"/>
                <w:sz w:val="24"/>
                <w:szCs w:val="24"/>
                <w:highlight w:val="none"/>
                <w:lang w:val="en-US" w:eastAsia="zh-CN" w:bidi="ar-SA"/>
              </w:rPr>
            </w:pPr>
            <w:r>
              <w:rPr>
                <w:rFonts w:hint="eastAsia" w:ascii="Times New Roman" w:hAnsi="Times New Roman" w:cs="Times New Roman"/>
                <w:b w:val="0"/>
                <w:bCs/>
                <w:color w:val="auto"/>
                <w:kern w:val="0"/>
                <w:sz w:val="24"/>
                <w:szCs w:val="20"/>
                <w:highlight w:val="none"/>
                <w:lang w:val="en-US" w:eastAsia="zh-CN"/>
              </w:rPr>
              <w:t>13619180823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5000" w:type="pct"/>
            <w:gridSpan w:val="11"/>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环境应急资源信息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6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序号</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名称</w:t>
            </w:r>
          </w:p>
        </w:tc>
        <w:tc>
          <w:tcPr>
            <w:tcW w:w="678"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单位</w:t>
            </w:r>
          </w:p>
        </w:tc>
        <w:tc>
          <w:tcPr>
            <w:tcW w:w="488"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数量</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eastAsia" w:ascii="Times New Roman" w:hAnsi="Times New Roman" w:eastAsia="仿宋" w:cs="Times New Roman"/>
                <w:color w:val="auto"/>
                <w:sz w:val="24"/>
                <w:szCs w:val="24"/>
                <w:highlight w:val="none"/>
                <w:lang w:val="en-US" w:eastAsia="zh-CN"/>
              </w:rPr>
              <w:t>有效</w:t>
            </w:r>
            <w:r>
              <w:rPr>
                <w:rFonts w:hint="default" w:ascii="Times New Roman" w:hAnsi="Times New Roman" w:eastAsia="仿宋" w:cs="Times New Roman"/>
                <w:color w:val="auto"/>
                <w:sz w:val="24"/>
                <w:szCs w:val="24"/>
                <w:highlight w:val="none"/>
              </w:rPr>
              <w:t>日期</w:t>
            </w:r>
          </w:p>
        </w:tc>
        <w:tc>
          <w:tcPr>
            <w:tcW w:w="860" w:type="pct"/>
            <w:gridSpan w:val="3"/>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存放位置</w:t>
            </w:r>
          </w:p>
        </w:tc>
        <w:tc>
          <w:tcPr>
            <w:tcW w:w="70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val="en-US" w:eastAsia="zh-CN"/>
              </w:rPr>
              <w:t>管理人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99"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烫伤药</w:t>
            </w:r>
          </w:p>
        </w:tc>
        <w:tc>
          <w:tcPr>
            <w:tcW w:w="678" w:type="pct"/>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盒</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10</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2024.6</w:t>
            </w:r>
          </w:p>
        </w:tc>
        <w:tc>
          <w:tcPr>
            <w:tcW w:w="860" w:type="pct"/>
            <w:gridSpan w:val="3"/>
            <w:vMerge w:val="restar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生产部</w:t>
            </w:r>
          </w:p>
        </w:tc>
        <w:tc>
          <w:tcPr>
            <w:tcW w:w="709" w:type="pct"/>
            <w:vMerge w:val="restart"/>
            <w:noWrap w:val="0"/>
            <w:vAlign w:val="center"/>
          </w:tcPr>
          <w:p>
            <w:pPr>
              <w:adjustRightInd w:val="0"/>
              <w:snapToGrid w:val="0"/>
              <w:spacing w:after="100" w:afterLines="0" w:afterAutospacing="1"/>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余文平</w:t>
            </w:r>
          </w:p>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99"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c>
          <w:tcPr>
            <w:tcW w:w="1202" w:type="pct"/>
            <w:noWrap w:val="0"/>
            <w:vAlign w:val="center"/>
          </w:tcPr>
          <w:p>
            <w:pPr>
              <w:widowControl/>
              <w:adjustRightInd/>
              <w:snapToGrid w:val="0"/>
              <w:spacing w:line="240" w:lineRule="auto"/>
              <w:ind w:firstLine="0" w:firstLineChars="0"/>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碘伏</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100ml/瓶</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rPr>
            </w:pPr>
            <w:r>
              <w:rPr>
                <w:rFonts w:hint="eastAsia" w:ascii="Times New Roman" w:hAnsi="Times New Roman" w:eastAsia="仿宋" w:cs="Times New Roman"/>
                <w:color w:val="auto"/>
                <w:sz w:val="24"/>
                <w:szCs w:val="24"/>
                <w:highlight w:val="none"/>
                <w:lang w:val="en-US" w:eastAsia="zh-CN"/>
              </w:rPr>
              <w:t>2024.2</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09"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3</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医用胶布</w:t>
            </w:r>
          </w:p>
        </w:tc>
        <w:tc>
          <w:tcPr>
            <w:tcW w:w="678" w:type="pct"/>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卷</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2025.7</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99"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4</w:t>
            </w:r>
          </w:p>
        </w:tc>
        <w:tc>
          <w:tcPr>
            <w:tcW w:w="1202"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创可贴</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20片/盒</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2024.5</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过氧化氢溶液</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rPr>
            </w:pPr>
            <w:r>
              <w:rPr>
                <w:rFonts w:hint="eastAsia" w:ascii="Times New Roman" w:hAnsi="Times New Roman" w:eastAsia="仿宋" w:cs="Times New Roman"/>
                <w:color w:val="auto"/>
                <w:sz w:val="24"/>
                <w:szCs w:val="24"/>
                <w:highlight w:val="none"/>
                <w:lang w:val="en-US" w:eastAsia="zh-CN"/>
              </w:rPr>
              <w:t>100ml/瓶</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2024.6</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09"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6</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云南白药气雾剂</w:t>
            </w:r>
          </w:p>
        </w:tc>
        <w:tc>
          <w:tcPr>
            <w:tcW w:w="678" w:type="pct"/>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瓶</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6</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rPr>
            </w:pPr>
            <w:r>
              <w:rPr>
                <w:rFonts w:hint="eastAsia" w:ascii="Times New Roman" w:hAnsi="Times New Roman" w:eastAsia="仿宋" w:cs="Times New Roman"/>
                <w:color w:val="auto"/>
                <w:sz w:val="24"/>
                <w:szCs w:val="24"/>
                <w:highlight w:val="none"/>
                <w:lang w:val="en-US" w:eastAsia="zh-CN"/>
              </w:rPr>
              <w:t>2025.1</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7</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医用棉球/纱布</w:t>
            </w:r>
          </w:p>
        </w:tc>
        <w:tc>
          <w:tcPr>
            <w:tcW w:w="678" w:type="pct"/>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包</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8</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rPr>
            </w:pPr>
            <w:r>
              <w:rPr>
                <w:rFonts w:hint="eastAsia" w:ascii="Times New Roman" w:hAnsi="Times New Roman" w:eastAsia="仿宋" w:cs="Times New Roman"/>
                <w:color w:val="auto"/>
                <w:sz w:val="24"/>
                <w:szCs w:val="24"/>
                <w:highlight w:val="none"/>
                <w:lang w:val="en-US" w:eastAsia="zh-CN"/>
              </w:rPr>
              <w:t>2023.2</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99"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8</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云南白药</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4g*6瓶/盒</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3</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2024.8</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14"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9</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干粉灭火器</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8KG</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44</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rPr>
            </w:pPr>
            <w:r>
              <w:rPr>
                <w:rFonts w:hint="eastAsia" w:ascii="Times New Roman" w:hAnsi="Times New Roman" w:eastAsia="仿宋" w:cs="Times New Roman"/>
                <w:color w:val="auto"/>
                <w:sz w:val="24"/>
                <w:szCs w:val="24"/>
                <w:highlight w:val="none"/>
                <w:lang w:val="en-US" w:eastAsia="zh-CN"/>
              </w:rPr>
              <w:t>2025.8</w:t>
            </w:r>
          </w:p>
        </w:tc>
        <w:tc>
          <w:tcPr>
            <w:tcW w:w="860" w:type="pct"/>
            <w:gridSpan w:val="3"/>
            <w:vMerge w:val="restar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车间</w:t>
            </w: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3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10</w:t>
            </w:r>
          </w:p>
        </w:tc>
        <w:tc>
          <w:tcPr>
            <w:tcW w:w="1202"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干粉灭火器</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35KG</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2025.8</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644"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11</w:t>
            </w:r>
          </w:p>
        </w:tc>
        <w:tc>
          <w:tcPr>
            <w:tcW w:w="1202"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CO</w:t>
            </w:r>
            <w:r>
              <w:rPr>
                <w:rFonts w:hint="eastAsia" w:ascii="Times New Roman" w:hAnsi="Times New Roman" w:eastAsia="仿宋" w:cs="Times New Roman"/>
                <w:color w:val="auto"/>
                <w:sz w:val="24"/>
                <w:szCs w:val="24"/>
                <w:highlight w:val="none"/>
                <w:vertAlign w:val="subscript"/>
                <w:lang w:val="en-US" w:eastAsia="zh-CN"/>
              </w:rPr>
              <w:t>2</w:t>
            </w:r>
            <w:r>
              <w:rPr>
                <w:rFonts w:hint="eastAsia" w:ascii="Times New Roman" w:hAnsi="Times New Roman" w:eastAsia="仿宋" w:cs="Times New Roman"/>
                <w:color w:val="auto"/>
                <w:sz w:val="24"/>
                <w:szCs w:val="24"/>
                <w:highlight w:val="none"/>
                <w:lang w:val="en-US" w:eastAsia="zh-CN"/>
              </w:rPr>
              <w:t>灭火器</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3KG</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2025.8</w:t>
            </w:r>
          </w:p>
        </w:tc>
        <w:tc>
          <w:tcPr>
            <w:tcW w:w="860" w:type="pct"/>
            <w:gridSpan w:val="3"/>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配电室</w:t>
            </w: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64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12</w:t>
            </w:r>
          </w:p>
        </w:tc>
        <w:tc>
          <w:tcPr>
            <w:tcW w:w="1202" w:type="pct"/>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干粉灭火器</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4KG</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6</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eastAsia" w:ascii="Times New Roman" w:hAnsi="Times New Roman" w:eastAsia="仿宋" w:cs="Times New Roman"/>
                <w:color w:val="auto"/>
                <w:sz w:val="24"/>
                <w:szCs w:val="24"/>
                <w:highlight w:val="none"/>
                <w:lang w:val="en-US" w:eastAsia="zh-CN"/>
              </w:rPr>
              <w:t>2025.8</w:t>
            </w:r>
          </w:p>
        </w:tc>
        <w:tc>
          <w:tcPr>
            <w:tcW w:w="860" w:type="pct"/>
            <w:gridSpan w:val="3"/>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办公区</w:t>
            </w: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13</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水泵</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台</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4</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2025.3</w:t>
            </w:r>
          </w:p>
        </w:tc>
        <w:tc>
          <w:tcPr>
            <w:tcW w:w="860" w:type="pct"/>
            <w:gridSpan w:val="3"/>
            <w:vMerge w:val="restar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库房</w:t>
            </w: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14</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雨衣</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套</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8</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15</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雨鞋</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双</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8</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16</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铁锨</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把</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10</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17</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沙袋</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袋</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350</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车间各门口</w:t>
            </w: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18</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防爆应急灯</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盏</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3</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2024.5</w:t>
            </w:r>
          </w:p>
        </w:tc>
        <w:tc>
          <w:tcPr>
            <w:tcW w:w="860" w:type="pct"/>
            <w:gridSpan w:val="3"/>
            <w:vMerge w:val="restar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库房</w:t>
            </w: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19</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手电筒</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把</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5</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警戒线</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卷</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2</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21</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救生绳</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米</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50</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22</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防毒面具</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只</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6</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2026.12</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23</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安全带</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副</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3</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24</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便携式水质检测仪</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个</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1</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25</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气体检测仪</w:t>
            </w:r>
          </w:p>
        </w:tc>
        <w:tc>
          <w:tcPr>
            <w:tcW w:w="678" w:type="pct"/>
            <w:noWrap w:val="0"/>
            <w:vAlign w:val="center"/>
          </w:tcPr>
          <w:p>
            <w:pPr>
              <w:keepNext w:val="0"/>
              <w:keepLines w:val="0"/>
              <w:widowControl/>
              <w:suppressLineNumbers w:val="0"/>
              <w:jc w:val="center"/>
              <w:textAlignment w:val="center"/>
              <w:rPr>
                <w:rFonts w:hint="eastAsia"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个</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1</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bl>
    <w:p>
      <w:pPr>
        <w:pStyle w:val="4"/>
        <w:keepNext/>
        <w:keepLines/>
        <w:pageBreakBefore w:val="0"/>
        <w:widowControl w:val="0"/>
        <w:kinsoku/>
        <w:wordWrap/>
        <w:overflowPunct/>
        <w:topLinePunct w:val="0"/>
        <w:autoSpaceDE/>
        <w:autoSpaceDN/>
        <w:bidi w:val="0"/>
        <w:adjustRightInd w:val="0"/>
        <w:snapToGrid w:val="0"/>
        <w:spacing w:before="157" w:beforeLines="50"/>
        <w:textAlignment w:val="auto"/>
        <w:outlineLvl w:val="1"/>
        <w:rPr>
          <w:rFonts w:hint="default" w:ascii="Times New Roman" w:hAnsi="Times New Roman" w:eastAsia="仿宋" w:cs="Times New Roman"/>
          <w:color w:val="auto"/>
        </w:rPr>
      </w:pPr>
      <w:bookmarkStart w:id="278" w:name="_Toc23790"/>
      <w:r>
        <w:rPr>
          <w:rFonts w:hint="default" w:ascii="Times New Roman" w:hAnsi="Times New Roman" w:eastAsia="仿宋" w:cs="Times New Roman"/>
          <w:color w:val="auto"/>
        </w:rPr>
        <w:t>3.7.2内部救援队伍</w:t>
      </w:r>
      <w:bookmarkEnd w:id="272"/>
      <w:bookmarkEnd w:id="273"/>
      <w:bookmarkEnd w:id="274"/>
      <w:bookmarkEnd w:id="275"/>
      <w:bookmarkEnd w:id="276"/>
      <w:bookmarkEnd w:id="277"/>
      <w:bookmarkEnd w:id="278"/>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根据公司的实际情况和需要，公司设突发环境事件应急指挥部，指挥部下设</w:t>
      </w:r>
      <w:r>
        <w:rPr>
          <w:rFonts w:hint="eastAsia" w:ascii="Times New Roman" w:hAnsi="Times New Roman" w:eastAsia="仿宋" w:cs="Times New Roman"/>
          <w:color w:val="auto"/>
          <w:sz w:val="28"/>
          <w:szCs w:val="28"/>
          <w:lang w:val="en-US" w:eastAsia="zh-CN"/>
        </w:rPr>
        <w:t>7</w:t>
      </w:r>
      <w:r>
        <w:rPr>
          <w:rFonts w:hint="default" w:ascii="Times New Roman" w:hAnsi="Times New Roman" w:eastAsia="仿宋" w:cs="Times New Roman"/>
          <w:color w:val="auto"/>
          <w:sz w:val="28"/>
          <w:szCs w:val="28"/>
        </w:rPr>
        <w:t>个现场应急工作组。当发生突发环境事件时，由突发环境事件应急指挥部负责本公司应急救援工作的组织和指挥。</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现场应急工作组分为应急救援</w:t>
      </w:r>
      <w:r>
        <w:rPr>
          <w:rFonts w:hint="default" w:ascii="Times New Roman" w:hAnsi="Times New Roman" w:eastAsia="仿宋" w:cs="Times New Roman"/>
          <w:color w:val="auto"/>
          <w:sz w:val="28"/>
          <w:szCs w:val="28"/>
          <w:lang w:eastAsia="zh-CN"/>
        </w:rPr>
        <w:t>组</w:t>
      </w:r>
      <w:r>
        <w:rPr>
          <w:rFonts w:hint="default" w:ascii="Times New Roman" w:hAnsi="Times New Roman" w:eastAsia="仿宋" w:cs="Times New Roman"/>
          <w:color w:val="auto"/>
          <w:sz w:val="28"/>
          <w:szCs w:val="28"/>
        </w:rPr>
        <w:t>、通讯联络</w:t>
      </w:r>
      <w:r>
        <w:rPr>
          <w:rFonts w:hint="default" w:ascii="Times New Roman" w:hAnsi="Times New Roman" w:eastAsia="仿宋" w:cs="Times New Roman"/>
          <w:color w:val="auto"/>
          <w:sz w:val="28"/>
          <w:szCs w:val="28"/>
          <w:lang w:eastAsia="zh-CN"/>
        </w:rPr>
        <w:t>组</w:t>
      </w:r>
      <w:r>
        <w:rPr>
          <w:rFonts w:hint="default" w:ascii="Times New Roman" w:hAnsi="Times New Roman" w:eastAsia="仿宋" w:cs="Times New Roman"/>
          <w:color w:val="auto"/>
          <w:sz w:val="28"/>
          <w:szCs w:val="28"/>
        </w:rPr>
        <w:t>、后勤保障</w:t>
      </w:r>
      <w:r>
        <w:rPr>
          <w:rFonts w:hint="default" w:ascii="Times New Roman" w:hAnsi="Times New Roman" w:eastAsia="仿宋" w:cs="Times New Roman"/>
          <w:color w:val="auto"/>
          <w:sz w:val="28"/>
          <w:szCs w:val="28"/>
          <w:lang w:eastAsia="zh-CN"/>
        </w:rPr>
        <w:t>组</w:t>
      </w:r>
      <w:r>
        <w:rPr>
          <w:rFonts w:hint="default" w:ascii="Times New Roman" w:hAnsi="Times New Roman" w:eastAsia="仿宋" w:cs="Times New Roman"/>
          <w:color w:val="auto"/>
          <w:sz w:val="28"/>
          <w:szCs w:val="28"/>
        </w:rPr>
        <w:t>、医疗救护</w:t>
      </w:r>
      <w:r>
        <w:rPr>
          <w:rFonts w:hint="default" w:ascii="Times New Roman" w:hAnsi="Times New Roman" w:eastAsia="仿宋" w:cs="Times New Roman"/>
          <w:color w:val="auto"/>
          <w:sz w:val="28"/>
          <w:szCs w:val="28"/>
          <w:lang w:eastAsia="zh-CN"/>
        </w:rPr>
        <w:t>组</w:t>
      </w:r>
      <w:r>
        <w:rPr>
          <w:rFonts w:hint="default" w:ascii="Times New Roman" w:hAnsi="Times New Roman" w:eastAsia="仿宋" w:cs="Times New Roman"/>
          <w:color w:val="auto"/>
          <w:sz w:val="28"/>
          <w:szCs w:val="28"/>
        </w:rPr>
        <w:t>、治安警戒</w:t>
      </w:r>
      <w:r>
        <w:rPr>
          <w:rFonts w:hint="default" w:ascii="Times New Roman" w:hAnsi="Times New Roman" w:eastAsia="仿宋" w:cs="Times New Roman"/>
          <w:color w:val="auto"/>
          <w:sz w:val="28"/>
          <w:szCs w:val="28"/>
          <w:lang w:eastAsia="zh-CN"/>
        </w:rPr>
        <w:t>组</w:t>
      </w:r>
      <w:r>
        <w:rPr>
          <w:rFonts w:hint="default" w:ascii="Times New Roman" w:hAnsi="Times New Roman" w:eastAsia="仿宋" w:cs="Times New Roman"/>
          <w:color w:val="auto"/>
          <w:sz w:val="28"/>
          <w:szCs w:val="28"/>
        </w:rPr>
        <w:t>和</w:t>
      </w:r>
      <w:r>
        <w:rPr>
          <w:rFonts w:hint="default" w:ascii="Times New Roman" w:hAnsi="Times New Roman" w:eastAsia="仿宋" w:cs="Times New Roman"/>
          <w:color w:val="auto"/>
          <w:sz w:val="28"/>
          <w:szCs w:val="28"/>
          <w:lang w:eastAsia="zh-CN"/>
        </w:rPr>
        <w:t>应急专家组</w:t>
      </w:r>
      <w:r>
        <w:rPr>
          <w:rFonts w:hint="default" w:ascii="Times New Roman" w:hAnsi="Times New Roman" w:eastAsia="仿宋" w:cs="Times New Roman"/>
          <w:color w:val="auto"/>
          <w:sz w:val="28"/>
          <w:szCs w:val="28"/>
        </w:rPr>
        <w:t>6个专业职能小队。应急组织机构图见图3.7-1。</w:t>
      </w:r>
    </w:p>
    <w:p>
      <w:pPr>
        <w:spacing w:line="360" w:lineRule="auto"/>
        <w:ind w:firstLine="420" w:firstLineChars="200"/>
        <w:jc w:val="center"/>
        <w:rPr>
          <w:rFonts w:hint="eastAsia" w:ascii="Times New Roman" w:hAnsi="Times New Roman" w:eastAsia="仿宋" w:cs="Times New Roman"/>
          <w:b/>
          <w:color w:val="auto"/>
          <w:sz w:val="24"/>
          <w:lang w:eastAsia="zh-CN"/>
        </w:rPr>
      </w:pPr>
      <w:r>
        <w:rPr>
          <w:color w:val="auto"/>
        </w:rPr>
        <w:drawing>
          <wp:inline distT="0" distB="0" distL="114300" distR="114300">
            <wp:extent cx="4495800" cy="2914650"/>
            <wp:effectExtent l="0" t="0" r="0" b="0"/>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0"/>
                    <a:stretch>
                      <a:fillRect/>
                    </a:stretch>
                  </pic:blipFill>
                  <pic:spPr>
                    <a:xfrm>
                      <a:off x="0" y="0"/>
                      <a:ext cx="4495800" cy="2914650"/>
                    </a:xfrm>
                    <a:prstGeom prst="rect">
                      <a:avLst/>
                    </a:prstGeom>
                    <a:noFill/>
                    <a:ln>
                      <a:noFill/>
                    </a:ln>
                  </pic:spPr>
                </pic:pic>
              </a:graphicData>
            </a:graphic>
          </wp:inline>
        </w:drawing>
      </w:r>
    </w:p>
    <w:p>
      <w:pPr>
        <w:spacing w:line="360" w:lineRule="auto"/>
        <w:ind w:firstLine="482" w:firstLineChars="20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图3.7-1 应急组织机构图</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8"/>
          <w:szCs w:val="28"/>
        </w:rPr>
        <w:t>应急指挥部成员：</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eastAsia"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rPr>
        <w:t>总指挥：</w:t>
      </w:r>
      <w:r>
        <w:rPr>
          <w:rFonts w:hint="eastAsia" w:ascii="Times New Roman" w:hAnsi="Times New Roman" w:eastAsia="仿宋" w:cs="Times New Roman"/>
          <w:color w:val="auto"/>
          <w:sz w:val="28"/>
          <w:szCs w:val="28"/>
          <w:highlight w:val="none"/>
          <w:lang w:val="en-US" w:eastAsia="zh-CN"/>
        </w:rPr>
        <w:t>余文平</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highlight w:val="none"/>
        </w:rPr>
        <w:t>副总指挥：</w:t>
      </w:r>
      <w:r>
        <w:rPr>
          <w:rFonts w:hint="eastAsia" w:ascii="Times New Roman" w:hAnsi="Times New Roman" w:eastAsia="仿宋" w:cs="Times New Roman"/>
          <w:color w:val="auto"/>
          <w:sz w:val="28"/>
          <w:szCs w:val="28"/>
          <w:highlight w:val="none"/>
          <w:lang w:eastAsia="zh-CN"/>
        </w:rPr>
        <w:t>姚兵</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应急指挥部职责</w:t>
      </w:r>
      <w:r>
        <w:rPr>
          <w:rFonts w:hint="eastAsia"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负责协调事件应急期间各个机构的关系，统筹安排整个应急行动，保证行动快速、有效地进行，避免因为行动紊乱而造成不必要的事件损失。应急救援指挥部的具体职责如下：</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（1）贯彻执行国家、当地政府、上级主管部门关于突发环境污染事故发生和应急救援的方针、政策及有关规定。</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（2）组织制定、修改环境污染事故应急救援预案，组建环境污染事故应急救援队伍，有计划地组织实施环境污染事故应急救援的培训和演习。</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（3）审批并落实环境污染事故应急救援所需的监测仪器、防护器材、救援器材等购置。</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（4）检查、督促做好环境污染事故的预防措施和应急救援的各项准备工作，督促、协助有关部门及时消除有毒有害介质的跑、冒、滴、漏。</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（5）批准应急救援的启动和终止。</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（6）及时向上级报告环境污染事故的具体情况，必要时向有关单位发出增援请求，并向周边单位通报相关情况。</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（7）组织指挥救援队伍实施救援行动，负责人员、资源配置、应急队伍的调动。</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（8）协调事故现场有关工作，配合政府部门对环境进行恢复、调查、经验教训总结。</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（9）负责对员工进行应急知识和基本防护方法的培训，向周边企业、村落提供本单位有关易燃易爆物质、危险固体废弃物、大气污染物特性以及救援知识等宣传材料。</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b w:val="0"/>
          <w:bCs/>
          <w:color w:val="auto"/>
          <w:sz w:val="28"/>
          <w:szCs w:val="28"/>
        </w:rPr>
      </w:pPr>
      <w:r>
        <w:rPr>
          <w:rFonts w:hint="default" w:ascii="Times New Roman" w:hAnsi="Times New Roman" w:eastAsia="仿宋" w:cs="Times New Roman"/>
          <w:b w:val="0"/>
          <w:bCs/>
          <w:color w:val="auto"/>
          <w:sz w:val="28"/>
          <w:szCs w:val="28"/>
        </w:rPr>
        <w:t>各应急小组及职责</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bookmarkStart w:id="279" w:name="_Toc6234"/>
      <w:bookmarkStart w:id="280" w:name="_Toc9750"/>
      <w:r>
        <w:rPr>
          <w:rFonts w:hint="default" w:ascii="Times New Roman" w:hAnsi="Times New Roman" w:eastAsia="仿宋" w:cs="Times New Roman"/>
          <w:color w:val="auto"/>
          <w:sz w:val="28"/>
          <w:szCs w:val="28"/>
        </w:rPr>
        <w:t>1、应急救援组</w:t>
      </w:r>
      <w:bookmarkEnd w:id="279"/>
      <w:bookmarkEnd w:id="280"/>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lang w:eastAsia="zh-CN"/>
        </w:rPr>
      </w:pPr>
      <w:bookmarkStart w:id="281" w:name="_Toc32194"/>
      <w:bookmarkStart w:id="282" w:name="_Toc26945"/>
      <w:r>
        <w:rPr>
          <w:rFonts w:hint="default" w:ascii="Times New Roman" w:hAnsi="Times New Roman" w:eastAsia="仿宋" w:cs="Times New Roman"/>
          <w:color w:val="auto"/>
          <w:sz w:val="28"/>
          <w:szCs w:val="28"/>
          <w:highlight w:val="none"/>
        </w:rPr>
        <w:t>组长：</w:t>
      </w:r>
      <w:r>
        <w:rPr>
          <w:rFonts w:hint="eastAsia" w:ascii="Times New Roman" w:hAnsi="Times New Roman" w:eastAsia="仿宋" w:cs="Times New Roman"/>
          <w:color w:val="auto"/>
          <w:sz w:val="28"/>
          <w:szCs w:val="28"/>
          <w:highlight w:val="none"/>
          <w:lang w:val="en-US" w:eastAsia="zh-CN"/>
        </w:rPr>
        <w:t>常超</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eastAsia="zh-CN"/>
        </w:rPr>
        <w:t>组</w:t>
      </w:r>
      <w:r>
        <w:rPr>
          <w:rFonts w:hint="default" w:ascii="Times New Roman" w:hAnsi="Times New Roman" w:eastAsia="仿宋" w:cs="Times New Roman"/>
          <w:color w:val="auto"/>
          <w:sz w:val="28"/>
          <w:szCs w:val="28"/>
          <w:highlight w:val="none"/>
        </w:rPr>
        <w:t>员：</w:t>
      </w:r>
      <w:r>
        <w:rPr>
          <w:rFonts w:hint="eastAsia" w:ascii="Times New Roman" w:hAnsi="Times New Roman" w:eastAsia="仿宋" w:cs="Times New Roman"/>
          <w:color w:val="auto"/>
          <w:sz w:val="28"/>
          <w:szCs w:val="28"/>
          <w:highlight w:val="none"/>
          <w:lang w:eastAsia="zh-CN"/>
        </w:rPr>
        <w:t>王凡</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职责：组织开展应急救援活动，负责在险情发生时，安全疏散人员，同时隔离现场，设置危险警示标志，严格限制无关人员出入。必要时联系</w:t>
      </w:r>
      <w:r>
        <w:rPr>
          <w:rFonts w:hint="eastAsia" w:ascii="Times New Roman" w:hAnsi="Times New Roman" w:eastAsia="仿宋" w:cs="Times New Roman"/>
          <w:color w:val="auto"/>
          <w:sz w:val="28"/>
          <w:szCs w:val="28"/>
          <w:highlight w:val="none"/>
          <w:lang w:val="en-US" w:eastAsia="zh-CN"/>
        </w:rPr>
        <w:t>安康市汉滨</w:t>
      </w:r>
      <w:r>
        <w:rPr>
          <w:rFonts w:hint="eastAsia" w:ascii="Times New Roman" w:hAnsi="Times New Roman" w:eastAsia="仿宋" w:cs="Times New Roman"/>
          <w:color w:val="auto"/>
          <w:sz w:val="28"/>
          <w:szCs w:val="28"/>
          <w:highlight w:val="none"/>
          <w:lang w:eastAsia="zh-CN"/>
        </w:rPr>
        <w:t>区</w:t>
      </w:r>
      <w:r>
        <w:rPr>
          <w:rFonts w:hint="eastAsia" w:ascii="Times New Roman" w:hAnsi="Times New Roman" w:eastAsia="仿宋" w:cs="Times New Roman"/>
          <w:color w:val="auto"/>
          <w:sz w:val="28"/>
          <w:szCs w:val="28"/>
          <w:lang w:eastAsia="zh-CN"/>
        </w:rPr>
        <w:t>公安消防大队</w:t>
      </w:r>
      <w:r>
        <w:rPr>
          <w:rFonts w:hint="default" w:ascii="Times New Roman" w:hAnsi="Times New Roman" w:eastAsia="仿宋" w:cs="Times New Roman"/>
          <w:color w:val="auto"/>
          <w:sz w:val="28"/>
          <w:szCs w:val="28"/>
        </w:rPr>
        <w:t>请求救援。结合事故现场实际情况，按照突发环境事件应急预案，认真协调实施事故发生环节的救援抢险工作，防止事故的扩大蔓延，力求将损失降低至最低。</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2、通讯联络组</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lang w:eastAsia="zh-CN"/>
        </w:rPr>
        <w:t>组长：</w:t>
      </w:r>
      <w:r>
        <w:rPr>
          <w:rFonts w:hint="eastAsia" w:ascii="Times New Roman" w:hAnsi="Times New Roman" w:eastAsia="仿宋" w:cs="Times New Roman"/>
          <w:color w:val="auto"/>
          <w:sz w:val="28"/>
          <w:szCs w:val="28"/>
          <w:highlight w:val="none"/>
          <w:lang w:eastAsia="zh-CN"/>
        </w:rPr>
        <w:t>胡燕妮</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lang w:eastAsia="zh-CN"/>
        </w:rPr>
        <w:t>组员：</w:t>
      </w:r>
      <w:r>
        <w:rPr>
          <w:rFonts w:hint="eastAsia" w:ascii="Times New Roman" w:hAnsi="Times New Roman" w:eastAsia="仿宋" w:cs="Times New Roman"/>
          <w:color w:val="auto"/>
          <w:sz w:val="28"/>
          <w:szCs w:val="28"/>
          <w:highlight w:val="none"/>
          <w:lang w:eastAsia="zh-CN"/>
        </w:rPr>
        <w:t>周宽</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职责：明确参与突发环境事件应急活动的所有部门的通讯方式，提供备用方案，配备必要的有线、无线通信器材，保障突发环境应急急预案启动时各应急救援支队间的联络畅通。</w:t>
      </w:r>
      <w:r>
        <w:rPr>
          <w:rFonts w:hint="eastAsia" w:ascii="Times New Roman" w:hAnsi="Times New Roman" w:eastAsia="仿宋" w:cs="Times New Roman"/>
          <w:color w:val="auto"/>
          <w:sz w:val="28"/>
          <w:szCs w:val="28"/>
          <w:lang w:eastAsia="zh-CN"/>
        </w:rPr>
        <w:t>本公司无监测能力，应急监测由外援监测机</w:t>
      </w:r>
      <w:r>
        <w:rPr>
          <w:rFonts w:hint="eastAsia" w:ascii="Times New Roman" w:hAnsi="Times New Roman" w:eastAsia="仿宋" w:cs="Times New Roman"/>
          <w:color w:val="auto"/>
          <w:sz w:val="28"/>
          <w:szCs w:val="28"/>
          <w:highlight w:val="none"/>
          <w:lang w:eastAsia="zh-CN"/>
        </w:rPr>
        <w:t>构开展。突发环境事件时，通讯联络组及时</w:t>
      </w:r>
      <w:r>
        <w:rPr>
          <w:rFonts w:hint="default" w:ascii="Times New Roman" w:hAnsi="Times New Roman" w:eastAsia="仿宋" w:cs="Times New Roman"/>
          <w:color w:val="auto"/>
          <w:sz w:val="28"/>
          <w:szCs w:val="28"/>
          <w:highlight w:val="none"/>
        </w:rPr>
        <w:t>联系</w:t>
      </w:r>
      <w:r>
        <w:rPr>
          <w:rFonts w:hint="eastAsia" w:ascii="Times New Roman" w:hAnsi="Times New Roman" w:eastAsia="仿宋" w:cs="Times New Roman"/>
          <w:color w:val="auto"/>
          <w:sz w:val="28"/>
          <w:szCs w:val="28"/>
          <w:highlight w:val="none"/>
          <w:lang w:eastAsia="zh-CN"/>
        </w:rPr>
        <w:t>陕西太阳景检测有限责任公司请</w:t>
      </w:r>
      <w:r>
        <w:rPr>
          <w:rFonts w:hint="eastAsia" w:ascii="Times New Roman" w:hAnsi="Times New Roman" w:eastAsia="仿宋" w:cs="Times New Roman"/>
          <w:color w:val="auto"/>
          <w:sz w:val="28"/>
          <w:szCs w:val="28"/>
          <w:lang w:eastAsia="zh-CN"/>
        </w:rPr>
        <w:t>求协助，并在现场配合</w:t>
      </w:r>
      <w:r>
        <w:rPr>
          <w:rFonts w:hint="default" w:ascii="Times New Roman" w:hAnsi="Times New Roman" w:eastAsia="仿宋" w:cs="Times New Roman"/>
          <w:color w:val="auto"/>
          <w:sz w:val="28"/>
          <w:szCs w:val="28"/>
        </w:rPr>
        <w:t>对突发环境事件进行监测。</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eastAsia"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rPr>
        <w:t>3、</w:t>
      </w:r>
      <w:r>
        <w:rPr>
          <w:rFonts w:hint="eastAsia" w:ascii="Times New Roman" w:hAnsi="Times New Roman" w:eastAsia="仿宋" w:cs="Times New Roman"/>
          <w:color w:val="auto"/>
          <w:sz w:val="28"/>
          <w:szCs w:val="28"/>
          <w:lang w:val="en-US" w:eastAsia="zh-CN"/>
        </w:rPr>
        <w:t>应急</w:t>
      </w:r>
      <w:r>
        <w:rPr>
          <w:rFonts w:hint="default" w:ascii="Times New Roman" w:hAnsi="Times New Roman" w:eastAsia="仿宋" w:cs="Times New Roman"/>
          <w:color w:val="auto"/>
          <w:sz w:val="28"/>
          <w:szCs w:val="28"/>
        </w:rPr>
        <w:t>保障</w:t>
      </w:r>
      <w:r>
        <w:rPr>
          <w:rFonts w:hint="eastAsia" w:ascii="Times New Roman" w:hAnsi="Times New Roman" w:eastAsia="仿宋" w:cs="Times New Roman"/>
          <w:color w:val="auto"/>
          <w:sz w:val="28"/>
          <w:szCs w:val="28"/>
          <w:lang w:val="en-US" w:eastAsia="zh-CN"/>
        </w:rPr>
        <w:t>组</w:t>
      </w:r>
    </w:p>
    <w:bookmarkEnd w:id="281"/>
    <w:bookmarkEnd w:id="282"/>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bCs/>
          <w:color w:val="auto"/>
          <w:spacing w:val="10"/>
          <w:sz w:val="28"/>
          <w:szCs w:val="28"/>
          <w:highlight w:val="none"/>
          <w:lang w:eastAsia="zh-CN"/>
        </w:rPr>
      </w:pPr>
      <w:bookmarkStart w:id="283" w:name="_Toc8997"/>
      <w:bookmarkStart w:id="284" w:name="_Toc22622"/>
      <w:r>
        <w:rPr>
          <w:rFonts w:hint="default" w:ascii="Times New Roman" w:hAnsi="Times New Roman" w:eastAsia="仿宋" w:cs="Times New Roman"/>
          <w:color w:val="auto"/>
          <w:sz w:val="28"/>
          <w:szCs w:val="28"/>
          <w:highlight w:val="none"/>
        </w:rPr>
        <w:t>组长：</w:t>
      </w:r>
      <w:r>
        <w:rPr>
          <w:rFonts w:hint="eastAsia" w:ascii="Times New Roman" w:hAnsi="Times New Roman" w:eastAsia="仿宋" w:cs="Times New Roman"/>
          <w:color w:val="auto"/>
          <w:sz w:val="28"/>
          <w:szCs w:val="28"/>
          <w:highlight w:val="none"/>
          <w:lang w:eastAsia="zh-CN"/>
        </w:rPr>
        <w:t>白彦明</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eastAsia="zh-CN"/>
        </w:rPr>
        <w:t>组员：</w:t>
      </w:r>
      <w:r>
        <w:rPr>
          <w:rFonts w:hint="eastAsia" w:ascii="Times New Roman" w:hAnsi="Times New Roman" w:eastAsia="仿宋" w:cs="Times New Roman"/>
          <w:color w:val="auto"/>
          <w:sz w:val="28"/>
          <w:szCs w:val="28"/>
          <w:highlight w:val="none"/>
          <w:lang w:eastAsia="zh-CN"/>
        </w:rPr>
        <w:t>鲜和财</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职责：组织供应事故救援所需的一切物资及组织车队负责事故救援物资的输送；协调财务部，提供应急物质和资金，全方位保证应急行动的顺利完成；</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4、</w:t>
      </w:r>
      <w:r>
        <w:rPr>
          <w:rFonts w:hint="eastAsia" w:ascii="Times New Roman" w:hAnsi="Times New Roman" w:eastAsia="仿宋" w:cs="Times New Roman"/>
          <w:color w:val="auto"/>
          <w:sz w:val="28"/>
          <w:szCs w:val="28"/>
          <w:lang w:val="en-US" w:eastAsia="zh-CN"/>
        </w:rPr>
        <w:t>现场处置</w:t>
      </w:r>
      <w:r>
        <w:rPr>
          <w:rFonts w:hint="default" w:ascii="Times New Roman" w:hAnsi="Times New Roman" w:eastAsia="仿宋" w:cs="Times New Roman"/>
          <w:color w:val="auto"/>
          <w:sz w:val="28"/>
          <w:szCs w:val="28"/>
        </w:rPr>
        <w:t>组</w:t>
      </w:r>
      <w:bookmarkEnd w:id="283"/>
      <w:bookmarkEnd w:id="284"/>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组长：</w:t>
      </w:r>
      <w:r>
        <w:rPr>
          <w:rFonts w:hint="eastAsia" w:ascii="Times New Roman" w:hAnsi="Times New Roman" w:eastAsia="仿宋" w:cs="Times New Roman"/>
          <w:color w:val="auto"/>
          <w:sz w:val="28"/>
          <w:szCs w:val="28"/>
          <w:highlight w:val="none"/>
          <w:lang w:eastAsia="zh-CN"/>
        </w:rPr>
        <w:t>姚兵</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组员：</w:t>
      </w:r>
      <w:r>
        <w:rPr>
          <w:rFonts w:hint="eastAsia" w:ascii="Times New Roman" w:hAnsi="Times New Roman" w:eastAsia="仿宋" w:cs="Times New Roman"/>
          <w:color w:val="auto"/>
          <w:sz w:val="28"/>
          <w:szCs w:val="28"/>
          <w:highlight w:val="none"/>
          <w:lang w:eastAsia="zh-CN"/>
        </w:rPr>
        <w:t>王爱平</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职责：</w:t>
      </w:r>
      <w:r>
        <w:rPr>
          <w:rFonts w:hint="default" w:ascii="Times New Roman" w:hAnsi="Times New Roman" w:eastAsia="仿宋" w:cs="Times New Roman"/>
          <w:color w:val="auto"/>
          <w:sz w:val="28"/>
          <w:szCs w:val="28"/>
          <w:highlight w:val="none"/>
        </w:rPr>
        <w:t>负责进行事故原因调查和全面的设备安全检查，询问事故发现人有关情况，包括电力设备运行情况、故障部位等。对设备故障原因做好记录，避免此类故障再次发生</w:t>
      </w:r>
      <w:r>
        <w:rPr>
          <w:rFonts w:hint="eastAsia" w:ascii="Times New Roman" w:hAnsi="Times New Roman" w:eastAsia="仿宋" w:cs="Times New Roman"/>
          <w:color w:val="auto"/>
          <w:sz w:val="28"/>
          <w:szCs w:val="28"/>
          <w:highlight w:val="none"/>
          <w:lang w:eastAsia="zh-CN"/>
        </w:rPr>
        <w:t>。</w:t>
      </w:r>
      <w:r>
        <w:rPr>
          <w:rFonts w:hint="eastAsia" w:ascii="Times New Roman" w:hAnsi="Times New Roman" w:eastAsia="仿宋" w:cs="Times New Roman"/>
          <w:color w:val="auto"/>
          <w:sz w:val="28"/>
          <w:szCs w:val="28"/>
          <w:highlight w:val="none"/>
          <w:lang w:val="en-US" w:eastAsia="zh-CN"/>
        </w:rPr>
        <w:t>同时清理火场，消灭残火，防止复燃。</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5、医疗救护组</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Times New Roman" w:hAnsi="Times New Roman" w:eastAsia="仿宋" w:cs="Times New Roman"/>
          <w:color w:val="auto"/>
          <w:sz w:val="28"/>
          <w:szCs w:val="28"/>
          <w:highlight w:val="none"/>
          <w:lang w:eastAsia="zh-CN"/>
        </w:rPr>
      </w:pPr>
      <w:bookmarkStart w:id="285" w:name="_Toc11482"/>
      <w:bookmarkStart w:id="286" w:name="_Toc5400"/>
      <w:r>
        <w:rPr>
          <w:rFonts w:hint="default" w:ascii="Times New Roman" w:hAnsi="Times New Roman" w:eastAsia="仿宋" w:cs="Times New Roman"/>
          <w:color w:val="auto"/>
          <w:sz w:val="28"/>
          <w:szCs w:val="28"/>
          <w:highlight w:val="none"/>
        </w:rPr>
        <w:t>组长：</w:t>
      </w:r>
      <w:r>
        <w:rPr>
          <w:rFonts w:hint="eastAsia" w:ascii="仿宋" w:hAnsi="仿宋" w:eastAsia="仿宋" w:cs="仿宋"/>
          <w:b w:val="0"/>
          <w:bCs/>
          <w:color w:val="auto"/>
          <w:kern w:val="0"/>
          <w:sz w:val="28"/>
          <w:szCs w:val="28"/>
          <w:highlight w:val="none"/>
          <w:lang w:val="en-US" w:eastAsia="zh-CN"/>
        </w:rPr>
        <w:t>徐晶</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仿宋" w:hAnsi="仿宋" w:eastAsia="仿宋" w:cs="仿宋"/>
          <w:b w:val="0"/>
          <w:bCs/>
          <w:color w:val="auto"/>
          <w:kern w:val="0"/>
          <w:sz w:val="28"/>
          <w:szCs w:val="28"/>
          <w:highlight w:val="none"/>
          <w:lang w:val="en-US" w:eastAsia="zh-CN"/>
        </w:rPr>
      </w:pPr>
      <w:r>
        <w:rPr>
          <w:rFonts w:hint="default" w:ascii="Times New Roman" w:hAnsi="Times New Roman" w:eastAsia="仿宋" w:cs="Times New Roman"/>
          <w:color w:val="auto"/>
          <w:sz w:val="28"/>
          <w:szCs w:val="28"/>
          <w:highlight w:val="none"/>
        </w:rPr>
        <w:t>组员：</w:t>
      </w:r>
      <w:r>
        <w:rPr>
          <w:rFonts w:hint="eastAsia" w:ascii="仿宋" w:hAnsi="仿宋" w:eastAsia="仿宋" w:cs="仿宋"/>
          <w:b w:val="0"/>
          <w:bCs/>
          <w:color w:val="auto"/>
          <w:kern w:val="0"/>
          <w:sz w:val="28"/>
          <w:szCs w:val="28"/>
          <w:highlight w:val="none"/>
          <w:lang w:val="en-US" w:eastAsia="zh-CN"/>
        </w:rPr>
        <w:t>金博林</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职责：对受伤人员进行必要的包扎；联系外界医疗机构，对伤员进行救治；必要时将伤员运送至就近医疗救护中心并联络家属。</w:t>
      </w:r>
    </w:p>
    <w:bookmarkEnd w:id="285"/>
    <w:bookmarkEnd w:id="286"/>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840" w:firstLineChars="300"/>
        <w:textAlignment w:val="auto"/>
        <w:rPr>
          <w:rFonts w:hint="default" w:ascii="Times New Roman" w:hAnsi="Times New Roman" w:eastAsia="仿宋" w:cs="Times New Roman"/>
          <w:color w:val="auto"/>
          <w:sz w:val="28"/>
          <w:szCs w:val="28"/>
          <w:lang w:val="en-US" w:eastAsia="zh-CN"/>
        </w:rPr>
      </w:pPr>
      <w:r>
        <w:rPr>
          <w:rFonts w:hint="eastAsia" w:ascii="Times New Roman" w:hAnsi="Times New Roman" w:eastAsia="仿宋" w:cs="Times New Roman"/>
          <w:color w:val="auto"/>
          <w:sz w:val="28"/>
          <w:szCs w:val="28"/>
          <w:lang w:val="en-US" w:eastAsia="zh-CN"/>
        </w:rPr>
        <w:t>6、应急专家组</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rPr>
        <w:t>组</w:t>
      </w:r>
      <w:r>
        <w:rPr>
          <w:rFonts w:hint="default" w:ascii="Times New Roman" w:hAnsi="Times New Roman" w:eastAsia="仿宋" w:cs="Times New Roman"/>
          <w:color w:val="auto"/>
          <w:sz w:val="28"/>
          <w:szCs w:val="28"/>
          <w:lang w:eastAsia="zh-CN"/>
        </w:rPr>
        <w:t>员</w:t>
      </w:r>
      <w:r>
        <w:rPr>
          <w:rFonts w:hint="default" w:ascii="Times New Roman" w:hAnsi="Times New Roman" w:eastAsia="仿宋" w:cs="Times New Roman"/>
          <w:color w:val="auto"/>
          <w:sz w:val="28"/>
          <w:szCs w:val="28"/>
        </w:rPr>
        <w:t>：</w:t>
      </w:r>
      <w:r>
        <w:rPr>
          <w:rFonts w:hint="eastAsia" w:ascii="Times New Roman" w:hAnsi="Times New Roman" w:eastAsia="仿宋" w:cs="Times New Roman"/>
          <w:bCs/>
          <w:color w:val="auto"/>
          <w:spacing w:val="10"/>
          <w:sz w:val="28"/>
          <w:szCs w:val="28"/>
          <w:highlight w:val="none"/>
          <w:lang w:val="en-US" w:eastAsia="zh-CN"/>
        </w:rPr>
        <w:t>余文平</w:t>
      </w:r>
      <w:r>
        <w:rPr>
          <w:rFonts w:hint="default" w:ascii="Times New Roman" w:hAnsi="Times New Roman" w:eastAsia="仿宋" w:cs="Times New Roman"/>
          <w:bCs/>
          <w:color w:val="auto"/>
          <w:spacing w:val="10"/>
          <w:sz w:val="28"/>
          <w:szCs w:val="28"/>
          <w:highlight w:val="none"/>
          <w:lang w:eastAsia="zh-CN"/>
        </w:rPr>
        <w:t>、</w:t>
      </w:r>
      <w:r>
        <w:rPr>
          <w:rFonts w:hint="eastAsia" w:ascii="Times New Roman" w:hAnsi="Times New Roman" w:eastAsia="仿宋" w:cs="Times New Roman"/>
          <w:bCs/>
          <w:color w:val="auto"/>
          <w:spacing w:val="10"/>
          <w:sz w:val="28"/>
          <w:szCs w:val="28"/>
          <w:highlight w:val="none"/>
          <w:lang w:eastAsia="zh-CN"/>
        </w:rPr>
        <w:t>姚兵</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color w:val="auto"/>
        </w:rPr>
      </w:pPr>
      <w:r>
        <w:rPr>
          <w:rFonts w:hint="default" w:ascii="Times New Roman" w:hAnsi="Times New Roman" w:eastAsia="仿宋" w:cs="Times New Roman"/>
          <w:color w:val="auto"/>
          <w:sz w:val="28"/>
          <w:szCs w:val="28"/>
        </w:rPr>
        <w:t>职责：</w:t>
      </w:r>
      <w:r>
        <w:rPr>
          <w:rFonts w:hint="default" w:ascii="Times New Roman" w:hAnsi="Times New Roman" w:eastAsia="仿宋" w:cs="Times New Roman"/>
          <w:color w:val="auto"/>
          <w:sz w:val="28"/>
          <w:szCs w:val="28"/>
          <w:lang w:val="en-US" w:eastAsia="zh-CN"/>
        </w:rPr>
        <w:t>负责协调应急救援指挥部制定救援方案，分析突发环境污染事故的形成原因，预测事故发展趋势，及时提出事故应急处理对策，为指挥部决策提供科学依据。</w:t>
      </w:r>
    </w:p>
    <w:p>
      <w:pPr>
        <w:keepNext/>
        <w:keepLines/>
        <w:pageBreakBefore w:val="0"/>
        <w:widowControl w:val="0"/>
        <w:kinsoku/>
        <w:wordWrap/>
        <w:overflowPunct/>
        <w:topLinePunct w:val="0"/>
        <w:autoSpaceDE/>
        <w:autoSpaceDN/>
        <w:bidi w:val="0"/>
        <w:adjustRightInd/>
        <w:snapToGrid/>
        <w:spacing w:line="360" w:lineRule="auto"/>
        <w:ind w:firstLine="482" w:firstLineChars="200"/>
        <w:jc w:val="center"/>
        <w:textAlignment w:val="auto"/>
        <w:outlineLvl w:val="0"/>
        <w:rPr>
          <w:rFonts w:hint="default" w:ascii="Times New Roman" w:hAnsi="Times New Roman" w:eastAsia="仿宋" w:cs="Times New Roman"/>
          <w:b/>
          <w:color w:val="auto"/>
        </w:rPr>
      </w:pPr>
      <w:bookmarkStart w:id="287" w:name="_Toc32614"/>
      <w:bookmarkStart w:id="288" w:name="_Toc11414"/>
      <w:bookmarkStart w:id="289" w:name="_Toc2443"/>
      <w:bookmarkStart w:id="290" w:name="_Toc32272"/>
      <w:bookmarkStart w:id="291" w:name="_Toc20106"/>
      <w:bookmarkStart w:id="292" w:name="_Toc11523"/>
      <w:bookmarkStart w:id="293" w:name="_Toc18996"/>
      <w:r>
        <w:rPr>
          <w:rFonts w:hint="eastAsia" w:ascii="Times New Roman" w:hAnsi="Times New Roman" w:eastAsia="仿宋" w:cs="Times New Roman"/>
          <w:b/>
          <w:color w:val="auto"/>
          <w:sz w:val="24"/>
          <w:szCs w:val="24"/>
          <w:lang w:val="en-US" w:eastAsia="zh-CN"/>
        </w:rPr>
        <w:t>表</w:t>
      </w:r>
      <w:r>
        <w:rPr>
          <w:rFonts w:hint="default" w:ascii="Times New Roman" w:hAnsi="Times New Roman" w:eastAsia="仿宋" w:cs="Times New Roman"/>
          <w:b/>
          <w:color w:val="auto"/>
          <w:sz w:val="24"/>
          <w:szCs w:val="24"/>
        </w:rPr>
        <w:t>3.7-2</w:t>
      </w:r>
      <w:r>
        <w:rPr>
          <w:rFonts w:hint="eastAsia" w:ascii="Times New Roman" w:hAnsi="Times New Roman" w:eastAsia="仿宋" w:cs="Times New Roman"/>
          <w:b/>
          <w:color w:val="auto"/>
          <w:sz w:val="24"/>
          <w:szCs w:val="24"/>
          <w:lang w:val="en-US" w:eastAsia="zh-CN"/>
        </w:rPr>
        <w:t xml:space="preserve"> </w:t>
      </w:r>
      <w:r>
        <w:rPr>
          <w:rFonts w:hint="default" w:ascii="Times New Roman" w:hAnsi="Times New Roman" w:eastAsia="仿宋" w:cs="Times New Roman"/>
          <w:b/>
          <w:color w:val="auto"/>
          <w:sz w:val="24"/>
          <w:szCs w:val="24"/>
        </w:rPr>
        <w:t>内部应急联络通讯录</w:t>
      </w:r>
      <w:bookmarkEnd w:id="287"/>
      <w:bookmarkEnd w:id="288"/>
      <w:bookmarkEnd w:id="289"/>
      <w:bookmarkEnd w:id="290"/>
      <w:bookmarkEnd w:id="291"/>
      <w:bookmarkEnd w:id="292"/>
      <w:bookmarkEnd w:id="293"/>
    </w:p>
    <w:tbl>
      <w:tblPr>
        <w:tblStyle w:val="17"/>
        <w:tblW w:w="8521"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55"/>
        <w:gridCol w:w="1325"/>
        <w:gridCol w:w="1265"/>
        <w:gridCol w:w="2138"/>
        <w:gridCol w:w="213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2980" w:type="dxa"/>
            <w:gridSpan w:val="2"/>
            <w:tcBorders>
              <w:tl2br w:val="nil"/>
              <w:tr2bl w:val="nil"/>
            </w:tcBorders>
            <w:noWrap w:val="0"/>
            <w:vAlign w:val="center"/>
          </w:tcPr>
          <w:p>
            <w:pPr>
              <w:jc w:val="center"/>
              <w:rPr>
                <w:rFonts w:hint="default" w:ascii="Times New Roman" w:hAnsi="Times New Roman" w:eastAsia="仿宋" w:cs="Times New Roman"/>
                <w:b/>
                <w:bCs/>
                <w:color w:val="auto"/>
                <w:kern w:val="0"/>
                <w:sz w:val="24"/>
                <w:szCs w:val="24"/>
                <w:highlight w:val="none"/>
                <w:lang w:val="en-US" w:eastAsia="zh-CN" w:bidi="en-US"/>
              </w:rPr>
            </w:pPr>
            <w:bookmarkStart w:id="294" w:name="_Toc496538152"/>
            <w:bookmarkStart w:id="295" w:name="_Toc12967"/>
            <w:bookmarkStart w:id="296" w:name="_Toc26566_WPSOffice_Level2"/>
            <w:bookmarkStart w:id="297" w:name="_Toc23636"/>
            <w:bookmarkStart w:id="298" w:name="_Toc20423"/>
            <w:bookmarkStart w:id="299" w:name="_Toc31351"/>
            <w:bookmarkStart w:id="300" w:name="_Toc15805"/>
            <w:bookmarkStart w:id="301" w:name="_Toc17732474"/>
            <w:bookmarkStart w:id="302" w:name="_Toc3344_WPSOffice_Level2"/>
            <w:r>
              <w:rPr>
                <w:rFonts w:hint="default" w:ascii="Times New Roman" w:hAnsi="Times New Roman" w:eastAsia="仿宋" w:cs="Times New Roman"/>
                <w:b/>
                <w:bCs/>
                <w:color w:val="auto"/>
                <w:kern w:val="0"/>
                <w:sz w:val="24"/>
                <w:szCs w:val="20"/>
                <w:highlight w:val="none"/>
                <w:lang w:bidi="en-US"/>
              </w:rPr>
              <w:t>应急职务</w:t>
            </w:r>
          </w:p>
        </w:tc>
        <w:tc>
          <w:tcPr>
            <w:tcW w:w="1265" w:type="dxa"/>
            <w:tcBorders>
              <w:tl2br w:val="nil"/>
              <w:tr2bl w:val="nil"/>
            </w:tcBorders>
            <w:noWrap w:val="0"/>
            <w:vAlign w:val="center"/>
          </w:tcPr>
          <w:p>
            <w:pPr>
              <w:jc w:val="center"/>
              <w:rPr>
                <w:rFonts w:hint="default" w:ascii="Times New Roman" w:hAnsi="Times New Roman" w:eastAsia="仿宋" w:cs="Times New Roman"/>
                <w:b/>
                <w:bCs/>
                <w:color w:val="auto"/>
                <w:kern w:val="0"/>
                <w:sz w:val="24"/>
                <w:szCs w:val="24"/>
                <w:highlight w:val="none"/>
                <w:lang w:val="en-US" w:eastAsia="zh-CN" w:bidi="en-US"/>
              </w:rPr>
            </w:pPr>
            <w:r>
              <w:rPr>
                <w:rFonts w:hint="default" w:ascii="Times New Roman" w:hAnsi="Times New Roman" w:eastAsia="仿宋" w:cs="Times New Roman"/>
                <w:b/>
                <w:bCs/>
                <w:color w:val="auto"/>
                <w:kern w:val="0"/>
                <w:sz w:val="24"/>
                <w:szCs w:val="20"/>
                <w:highlight w:val="none"/>
                <w:lang w:bidi="en-US"/>
              </w:rPr>
              <w:t>姓名</w:t>
            </w:r>
          </w:p>
        </w:tc>
        <w:tc>
          <w:tcPr>
            <w:tcW w:w="2138" w:type="dxa"/>
            <w:tcBorders>
              <w:tl2br w:val="nil"/>
              <w:tr2bl w:val="nil"/>
            </w:tcBorders>
            <w:noWrap w:val="0"/>
            <w:vAlign w:val="center"/>
          </w:tcPr>
          <w:p>
            <w:pPr>
              <w:jc w:val="center"/>
              <w:rPr>
                <w:rFonts w:hint="eastAsia" w:ascii="Times New Roman" w:hAnsi="Times New Roman" w:eastAsia="仿宋" w:cs="Times New Roman"/>
                <w:b/>
                <w:bCs/>
                <w:color w:val="auto"/>
                <w:kern w:val="0"/>
                <w:sz w:val="24"/>
                <w:szCs w:val="20"/>
                <w:highlight w:val="none"/>
                <w:lang w:val="en-US" w:eastAsia="zh-CN" w:bidi="en-US"/>
              </w:rPr>
            </w:pPr>
            <w:r>
              <w:rPr>
                <w:rFonts w:hint="eastAsia" w:ascii="Times New Roman" w:hAnsi="Times New Roman" w:eastAsia="仿宋" w:cs="Times New Roman"/>
                <w:b/>
                <w:bCs/>
                <w:color w:val="auto"/>
                <w:kern w:val="0"/>
                <w:sz w:val="24"/>
                <w:szCs w:val="20"/>
                <w:highlight w:val="none"/>
                <w:lang w:val="en-US" w:eastAsia="zh-CN" w:bidi="en-US"/>
              </w:rPr>
              <w:t>岗位</w:t>
            </w:r>
          </w:p>
        </w:tc>
        <w:tc>
          <w:tcPr>
            <w:tcW w:w="2138" w:type="dxa"/>
            <w:tcBorders>
              <w:tl2br w:val="nil"/>
              <w:tr2bl w:val="nil"/>
            </w:tcBorders>
            <w:noWrap w:val="0"/>
            <w:vAlign w:val="center"/>
          </w:tcPr>
          <w:p>
            <w:pPr>
              <w:jc w:val="center"/>
              <w:rPr>
                <w:rFonts w:hint="default" w:ascii="Times New Roman" w:hAnsi="Times New Roman" w:eastAsia="仿宋" w:cs="Times New Roman"/>
                <w:b/>
                <w:bCs/>
                <w:color w:val="auto"/>
                <w:kern w:val="0"/>
                <w:sz w:val="24"/>
                <w:szCs w:val="24"/>
                <w:highlight w:val="none"/>
                <w:lang w:val="en-US" w:eastAsia="zh-CN" w:bidi="en-US"/>
              </w:rPr>
            </w:pPr>
            <w:r>
              <w:rPr>
                <w:rFonts w:hint="default" w:ascii="Times New Roman" w:hAnsi="Times New Roman" w:eastAsia="仿宋" w:cs="Times New Roman"/>
                <w:b/>
                <w:bCs/>
                <w:color w:val="auto"/>
                <w:kern w:val="0"/>
                <w:sz w:val="24"/>
                <w:szCs w:val="20"/>
                <w:highlight w:val="none"/>
                <w:lang w:bidi="en-US"/>
              </w:rPr>
              <w:t>联系方式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2980" w:type="dxa"/>
            <w:gridSpan w:val="2"/>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eastAsia="zh-CN" w:bidi="en-US"/>
              </w:rPr>
              <w:t>总指挥</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余文平</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总经理</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13619180823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93" w:hRule="atLeast"/>
          <w:jc w:val="center"/>
        </w:trPr>
        <w:tc>
          <w:tcPr>
            <w:tcW w:w="2980" w:type="dxa"/>
            <w:gridSpan w:val="2"/>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副</w:t>
            </w:r>
            <w:r>
              <w:rPr>
                <w:rFonts w:hint="default" w:ascii="Times New Roman" w:hAnsi="Times New Roman" w:eastAsia="仿宋" w:cs="Times New Roman"/>
                <w:color w:val="auto"/>
                <w:kern w:val="0"/>
                <w:sz w:val="24"/>
                <w:szCs w:val="20"/>
                <w:highlight w:val="none"/>
                <w:lang w:eastAsia="zh-CN" w:bidi="en-US"/>
              </w:rPr>
              <w:t>总指挥</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bidi="en-US"/>
              </w:rPr>
            </w:pPr>
            <w:r>
              <w:rPr>
                <w:rFonts w:hint="eastAsia" w:ascii="仿宋" w:hAnsi="仿宋" w:eastAsia="仿宋" w:cs="仿宋"/>
                <w:b w:val="0"/>
                <w:bCs/>
                <w:color w:val="auto"/>
                <w:kern w:val="0"/>
                <w:sz w:val="24"/>
                <w:szCs w:val="20"/>
                <w:highlight w:val="none"/>
                <w:lang w:val="en-US" w:eastAsia="zh-CN" w:bidi="en-US"/>
              </w:rPr>
              <w:t>姚兵</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副总经理</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13772554646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应急救援</w:t>
            </w:r>
            <w:r>
              <w:rPr>
                <w:rFonts w:hint="default" w:ascii="Times New Roman" w:hAnsi="Times New Roman" w:eastAsia="仿宋" w:cs="Times New Roman"/>
                <w:color w:val="auto"/>
                <w:kern w:val="0"/>
                <w:sz w:val="24"/>
                <w:szCs w:val="20"/>
                <w:highlight w:val="none"/>
                <w:lang w:eastAsia="zh-CN" w:bidi="en-US"/>
              </w:rPr>
              <w:t>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eastAsia="zh-CN" w:bidi="en-US"/>
              </w:rPr>
              <w:t>组长</w:t>
            </w:r>
          </w:p>
        </w:tc>
        <w:tc>
          <w:tcPr>
            <w:tcW w:w="1265" w:type="dxa"/>
            <w:tcBorders>
              <w:tl2br w:val="nil"/>
              <w:tr2bl w:val="nil"/>
            </w:tcBorders>
            <w:noWrap w:val="0"/>
            <w:vAlign w:val="center"/>
          </w:tcPr>
          <w:p>
            <w:pPr>
              <w:widowControl/>
              <w:adjustRightInd/>
              <w:snapToGrid w:val="0"/>
              <w:spacing w:line="240" w:lineRule="auto"/>
              <w:ind w:firstLine="240" w:firstLineChars="100"/>
              <w:jc w:val="both"/>
              <w:rPr>
                <w:rFonts w:hint="default"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0"/>
                <w:highlight w:val="none"/>
                <w:lang w:val="en-US" w:eastAsia="zh-CN" w:bidi="en-US"/>
              </w:rPr>
              <w:t>常超</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钢构厂经理</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13020719911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eastAsia="zh-CN" w:bidi="en-US"/>
              </w:rPr>
            </w:pPr>
            <w:r>
              <w:rPr>
                <w:rFonts w:hint="default" w:ascii="Times New Roman" w:hAnsi="Times New Roman" w:eastAsia="仿宋" w:cs="Times New Roman"/>
                <w:color w:val="auto"/>
                <w:kern w:val="0"/>
                <w:sz w:val="24"/>
                <w:szCs w:val="20"/>
                <w:highlight w:val="none"/>
                <w:lang w:eastAsia="zh-CN" w:bidi="en-US"/>
              </w:rPr>
              <w:t>组员</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bidi="en-US"/>
              </w:rPr>
            </w:pPr>
            <w:r>
              <w:rPr>
                <w:rFonts w:hint="eastAsia" w:ascii="仿宋" w:hAnsi="仿宋" w:eastAsia="仿宋" w:cs="仿宋"/>
                <w:b w:val="0"/>
                <w:bCs/>
                <w:color w:val="auto"/>
                <w:kern w:val="0"/>
                <w:sz w:val="24"/>
                <w:szCs w:val="20"/>
                <w:highlight w:val="none"/>
                <w:lang w:val="en-US" w:eastAsia="zh-CN" w:bidi="en-US"/>
              </w:rPr>
              <w:t>王凡</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钢构厂支部书记</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13092953773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eastAsia" w:ascii="Times New Roman" w:hAnsi="Times New Roman" w:eastAsia="仿宋" w:cs="Times New Roman"/>
                <w:color w:val="auto"/>
                <w:kern w:val="0"/>
                <w:sz w:val="24"/>
                <w:szCs w:val="20"/>
                <w:highlight w:val="none"/>
                <w:lang w:eastAsia="zh-CN" w:bidi="en-US"/>
              </w:rPr>
            </w:pPr>
            <w:r>
              <w:rPr>
                <w:rFonts w:hint="eastAsia" w:ascii="Times New Roman" w:hAnsi="Times New Roman" w:eastAsia="仿宋" w:cs="Times New Roman"/>
                <w:color w:val="auto"/>
                <w:kern w:val="0"/>
                <w:sz w:val="24"/>
                <w:szCs w:val="20"/>
                <w:highlight w:val="none"/>
                <w:lang w:eastAsia="zh-CN" w:bidi="en-US"/>
              </w:rPr>
              <w:t>通讯联络组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eastAsia="zh-CN" w:bidi="en-US"/>
              </w:rPr>
            </w:pPr>
            <w:r>
              <w:rPr>
                <w:rFonts w:hint="eastAsia" w:ascii="Times New Roman" w:hAnsi="Times New Roman" w:eastAsia="仿宋" w:cs="Times New Roman"/>
                <w:color w:val="auto"/>
                <w:kern w:val="0"/>
                <w:sz w:val="24"/>
                <w:szCs w:val="20"/>
                <w:highlight w:val="none"/>
                <w:lang w:eastAsia="zh-CN" w:bidi="en-US"/>
              </w:rPr>
              <w:t>组长</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rPr>
            </w:pPr>
            <w:r>
              <w:rPr>
                <w:rFonts w:hint="eastAsia" w:ascii="仿宋" w:hAnsi="仿宋" w:eastAsia="仿宋" w:cs="仿宋"/>
                <w:b w:val="0"/>
                <w:bCs/>
                <w:color w:val="auto"/>
                <w:kern w:val="0"/>
                <w:sz w:val="24"/>
                <w:szCs w:val="20"/>
                <w:highlight w:val="none"/>
                <w:lang w:val="en-US" w:eastAsia="zh-CN"/>
              </w:rPr>
              <w:t>胡燕妮</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钢构厂技术总工</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15191807530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eastAsia="zh-CN" w:bidi="en-US"/>
              </w:rPr>
            </w:pPr>
            <w:r>
              <w:rPr>
                <w:rFonts w:hint="eastAsia" w:ascii="Times New Roman" w:hAnsi="Times New Roman" w:eastAsia="仿宋" w:cs="Times New Roman"/>
                <w:color w:val="auto"/>
                <w:kern w:val="0"/>
                <w:sz w:val="24"/>
                <w:szCs w:val="20"/>
                <w:highlight w:val="none"/>
                <w:lang w:eastAsia="zh-CN" w:bidi="en-US"/>
              </w:rPr>
              <w:t>组员</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rPr>
            </w:pPr>
            <w:r>
              <w:rPr>
                <w:rFonts w:hint="eastAsia" w:ascii="仿宋" w:hAnsi="仿宋" w:eastAsia="仿宋" w:cs="仿宋"/>
                <w:b w:val="0"/>
                <w:bCs/>
                <w:color w:val="auto"/>
                <w:kern w:val="0"/>
                <w:sz w:val="24"/>
                <w:szCs w:val="20"/>
                <w:highlight w:val="none"/>
                <w:lang w:val="en-US" w:eastAsia="zh-CN"/>
              </w:rPr>
              <w:t>周宽</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生产负责人</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18329682163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eastAsia" w:ascii="Times New Roman" w:hAnsi="Times New Roman" w:eastAsia="仿宋" w:cs="Times New Roman"/>
                <w:color w:val="auto"/>
                <w:kern w:val="0"/>
                <w:sz w:val="24"/>
                <w:szCs w:val="20"/>
                <w:highlight w:val="none"/>
                <w:lang w:val="en-US" w:eastAsia="zh-CN" w:bidi="en-US"/>
              </w:rPr>
              <w:t>应急</w:t>
            </w:r>
            <w:r>
              <w:rPr>
                <w:rFonts w:hint="default" w:ascii="Times New Roman" w:hAnsi="Times New Roman" w:eastAsia="仿宋" w:cs="Times New Roman"/>
                <w:color w:val="auto"/>
                <w:kern w:val="0"/>
                <w:sz w:val="24"/>
                <w:szCs w:val="20"/>
                <w:highlight w:val="none"/>
                <w:lang w:eastAsia="zh-CN" w:bidi="en-US"/>
              </w:rPr>
              <w:t>保障组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组长</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rPr>
            </w:pPr>
            <w:r>
              <w:rPr>
                <w:rFonts w:hint="eastAsia" w:ascii="仿宋" w:hAnsi="仿宋" w:eastAsia="仿宋" w:cs="仿宋"/>
                <w:b w:val="0"/>
                <w:bCs/>
                <w:color w:val="auto"/>
                <w:kern w:val="0"/>
                <w:sz w:val="24"/>
                <w:szCs w:val="20"/>
                <w:highlight w:val="none"/>
                <w:lang w:val="en-US" w:eastAsia="zh-CN"/>
              </w:rPr>
              <w:t>白彦明</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安全环保负责人</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15191090185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组员</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rPr>
            </w:pPr>
            <w:r>
              <w:rPr>
                <w:rFonts w:hint="eastAsia" w:ascii="仿宋" w:hAnsi="仿宋" w:eastAsia="仿宋" w:cs="仿宋"/>
                <w:b w:val="0"/>
                <w:bCs/>
                <w:color w:val="auto"/>
                <w:kern w:val="0"/>
                <w:sz w:val="24"/>
                <w:szCs w:val="20"/>
                <w:highlight w:val="none"/>
                <w:lang w:val="en-US" w:eastAsia="zh-CN"/>
              </w:rPr>
              <w:t>鲜和财</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设备管理员</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15399252826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现场处置组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组长</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rPr>
            </w:pPr>
            <w:r>
              <w:rPr>
                <w:rFonts w:hint="eastAsia" w:ascii="仿宋" w:hAnsi="仿宋" w:eastAsia="仿宋" w:cs="仿宋"/>
                <w:b w:val="0"/>
                <w:bCs/>
                <w:color w:val="auto"/>
                <w:kern w:val="0"/>
                <w:sz w:val="24"/>
                <w:szCs w:val="24"/>
                <w:highlight w:val="none"/>
                <w:lang w:val="en-US" w:eastAsia="zh-CN" w:bidi="en-US"/>
              </w:rPr>
              <w:t>姚兵</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副总经理</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13772554646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eastAsia="zh-CN" w:bidi="en-US"/>
              </w:rPr>
            </w:pPr>
            <w:r>
              <w:rPr>
                <w:rFonts w:hint="default" w:ascii="Times New Roman" w:hAnsi="Times New Roman" w:eastAsia="仿宋" w:cs="Times New Roman"/>
                <w:color w:val="auto"/>
                <w:kern w:val="0"/>
                <w:sz w:val="24"/>
                <w:szCs w:val="20"/>
                <w:highlight w:val="none"/>
                <w:lang w:bidi="en-US"/>
              </w:rPr>
              <w:t>组员</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rPr>
            </w:pPr>
            <w:r>
              <w:rPr>
                <w:rFonts w:hint="eastAsia" w:ascii="仿宋" w:hAnsi="仿宋" w:eastAsia="仿宋" w:cs="仿宋"/>
                <w:b w:val="0"/>
                <w:bCs/>
                <w:color w:val="auto"/>
                <w:kern w:val="0"/>
                <w:sz w:val="24"/>
                <w:szCs w:val="20"/>
                <w:highlight w:val="none"/>
                <w:lang w:val="en-US" w:eastAsia="zh-CN" w:bidi="en-US"/>
              </w:rPr>
              <w:t>王爱平</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资料管理员</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18740509919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医疗救护组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组长</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eastAsia="仿宋" w:cs="Times New Roman"/>
                <w:color w:val="auto"/>
                <w:kern w:val="0"/>
                <w:sz w:val="24"/>
                <w:szCs w:val="24"/>
                <w:highlight w:val="none"/>
                <w:lang w:val="en-US" w:eastAsia="zh-CN" w:bidi="en-US"/>
              </w:rPr>
            </w:pPr>
            <w:r>
              <w:rPr>
                <w:rFonts w:hint="eastAsia" w:ascii="仿宋" w:hAnsi="仿宋" w:eastAsia="仿宋" w:cs="仿宋"/>
                <w:b w:val="0"/>
                <w:bCs/>
                <w:color w:val="auto"/>
                <w:kern w:val="0"/>
                <w:sz w:val="24"/>
                <w:szCs w:val="20"/>
                <w:highlight w:val="none"/>
                <w:lang w:val="en-US" w:eastAsia="zh-CN"/>
              </w:rPr>
              <w:t>徐晶</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材料管理员</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18729105097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组员</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eastAsia="仿宋" w:cs="Times New Roman"/>
                <w:color w:val="auto"/>
                <w:kern w:val="0"/>
                <w:sz w:val="24"/>
                <w:szCs w:val="24"/>
                <w:highlight w:val="none"/>
                <w:lang w:val="en-US" w:eastAsia="zh-CN" w:bidi="en-US"/>
              </w:rPr>
            </w:pPr>
            <w:r>
              <w:rPr>
                <w:rFonts w:hint="eastAsia" w:ascii="仿宋" w:hAnsi="仿宋" w:eastAsia="仿宋" w:cs="仿宋"/>
                <w:b w:val="0"/>
                <w:bCs/>
                <w:color w:val="auto"/>
                <w:kern w:val="0"/>
                <w:sz w:val="24"/>
                <w:szCs w:val="20"/>
                <w:highlight w:val="none"/>
                <w:lang w:val="en-US" w:eastAsia="zh-CN"/>
              </w:rPr>
              <w:t>金博林</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技术员</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13096957674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eastAsia" w:ascii="Times New Roman" w:hAnsi="Times New Roman" w:eastAsia="仿宋" w:cs="Times New Roman"/>
                <w:color w:val="auto"/>
                <w:kern w:val="0"/>
                <w:sz w:val="24"/>
                <w:szCs w:val="24"/>
                <w:highlight w:val="none"/>
                <w:lang w:val="en-US" w:eastAsia="zh-CN" w:bidi="en-US"/>
              </w:rPr>
              <w:t>应急监测组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bidi="en-US"/>
              </w:rPr>
            </w:pPr>
            <w:r>
              <w:rPr>
                <w:rFonts w:hint="default" w:ascii="Times New Roman" w:hAnsi="Times New Roman" w:eastAsia="仿宋" w:cs="Times New Roman"/>
                <w:color w:val="auto"/>
                <w:kern w:val="0"/>
                <w:sz w:val="24"/>
                <w:szCs w:val="20"/>
                <w:highlight w:val="none"/>
                <w:lang w:bidi="en-US"/>
              </w:rPr>
              <w:t>组长</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eastAsia" w:ascii="Times New Roman" w:hAnsi="Times New Roman" w:eastAsia="仿宋" w:cs="Times New Roman"/>
                <w:bCs/>
                <w:color w:val="auto"/>
                <w:kern w:val="2"/>
                <w:sz w:val="24"/>
                <w:szCs w:val="24"/>
                <w:highlight w:val="none"/>
                <w:lang w:val="en-US" w:eastAsia="zh-CN" w:bidi="ar-SA"/>
              </w:rPr>
            </w:pPr>
            <w:r>
              <w:rPr>
                <w:rFonts w:hint="eastAsia" w:ascii="仿宋" w:hAnsi="仿宋" w:eastAsia="仿宋" w:cs="仿宋"/>
                <w:b w:val="0"/>
                <w:bCs/>
                <w:color w:val="auto"/>
                <w:kern w:val="0"/>
                <w:sz w:val="24"/>
                <w:szCs w:val="20"/>
                <w:highlight w:val="none"/>
                <w:lang w:val="en-US" w:eastAsia="zh-CN"/>
              </w:rPr>
              <w:t>季辉</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技术员</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18740441833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eastAsia" w:ascii="Times New Roman" w:hAnsi="Times New Roman" w:eastAsia="仿宋" w:cs="Times New Roman"/>
                <w:color w:val="auto"/>
                <w:kern w:val="0"/>
                <w:sz w:val="24"/>
                <w:szCs w:val="24"/>
                <w:highlight w:val="none"/>
                <w:lang w:val="en-US" w:eastAsia="zh-CN"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bidi="en-US"/>
              </w:rPr>
            </w:pPr>
            <w:r>
              <w:rPr>
                <w:rFonts w:hint="default" w:ascii="Times New Roman" w:hAnsi="Times New Roman" w:eastAsia="仿宋" w:cs="Times New Roman"/>
                <w:color w:val="auto"/>
                <w:kern w:val="0"/>
                <w:sz w:val="24"/>
                <w:szCs w:val="20"/>
                <w:highlight w:val="none"/>
                <w:lang w:bidi="en-US"/>
              </w:rPr>
              <w:t>组员</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eastAsia" w:ascii="Times New Roman" w:hAnsi="Times New Roman" w:eastAsia="仿宋" w:cs="Times New Roman"/>
                <w:bCs/>
                <w:color w:val="auto"/>
                <w:kern w:val="2"/>
                <w:sz w:val="24"/>
                <w:szCs w:val="24"/>
                <w:highlight w:val="none"/>
                <w:lang w:val="en-US" w:eastAsia="zh-CN" w:bidi="ar-SA"/>
              </w:rPr>
            </w:pPr>
            <w:r>
              <w:rPr>
                <w:rFonts w:hint="eastAsia" w:ascii="仿宋" w:hAnsi="仿宋" w:eastAsia="仿宋" w:cs="仿宋"/>
                <w:b w:val="0"/>
                <w:bCs/>
                <w:color w:val="auto"/>
                <w:kern w:val="0"/>
                <w:sz w:val="24"/>
                <w:szCs w:val="20"/>
                <w:highlight w:val="none"/>
                <w:lang w:val="en-US" w:eastAsia="zh-CN"/>
              </w:rPr>
              <w:t>周宽</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生产负责人</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18329682163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应急处置专家组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val="en-US" w:bidi="en-US"/>
              </w:rPr>
            </w:pPr>
            <w:r>
              <w:rPr>
                <w:rFonts w:hint="default" w:ascii="Times New Roman" w:hAnsi="Times New Roman" w:eastAsia="仿宋" w:cs="Times New Roman"/>
                <w:color w:val="auto"/>
                <w:kern w:val="0"/>
                <w:sz w:val="24"/>
                <w:szCs w:val="20"/>
                <w:highlight w:val="none"/>
                <w:lang w:bidi="en-US"/>
              </w:rPr>
              <w:t>组长</w:t>
            </w:r>
          </w:p>
        </w:tc>
        <w:tc>
          <w:tcPr>
            <w:tcW w:w="1265" w:type="dxa"/>
            <w:tcBorders>
              <w:tl2br w:val="nil"/>
              <w:tr2bl w:val="nil"/>
            </w:tcBorders>
            <w:noWrap w:val="0"/>
            <w:vAlign w:val="center"/>
          </w:tcPr>
          <w:p>
            <w:pPr>
              <w:widowControl/>
              <w:adjustRightInd/>
              <w:snapToGrid w:val="0"/>
              <w:spacing w:line="240" w:lineRule="auto"/>
              <w:ind w:left="210" w:leftChars="100" w:firstLine="0" w:firstLineChars="0"/>
              <w:jc w:val="center"/>
              <w:rPr>
                <w:rFonts w:hint="default" w:ascii="Times New Roman" w:hAnsi="Times New Roman" w:eastAsia="仿宋" w:cs="Times New Roman"/>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余文平</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总经理</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13619180823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val="en-US" w:bidi="en-US"/>
              </w:rPr>
              <w:t>组员</w:t>
            </w:r>
          </w:p>
        </w:tc>
        <w:tc>
          <w:tcPr>
            <w:tcW w:w="1265" w:type="dxa"/>
            <w:tcBorders>
              <w:tl2br w:val="nil"/>
              <w:tr2bl w:val="nil"/>
            </w:tcBorders>
            <w:noWrap w:val="0"/>
            <w:vAlign w:val="center"/>
          </w:tcPr>
          <w:p>
            <w:pPr>
              <w:widowControl/>
              <w:adjustRightInd/>
              <w:snapToGrid w:val="0"/>
              <w:spacing w:line="240" w:lineRule="auto"/>
              <w:ind w:left="210" w:leftChars="100" w:firstLine="0" w:firstLineChars="0"/>
              <w:jc w:val="center"/>
              <w:rPr>
                <w:rFonts w:hint="default" w:ascii="Times New Roman" w:hAnsi="Times New Roman" w:eastAsia="仿宋" w:cs="Times New Roman"/>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姚兵</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副总经理</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13772554646</w:t>
            </w:r>
          </w:p>
        </w:tc>
      </w:tr>
    </w:tbl>
    <w:p>
      <w:pPr>
        <w:pStyle w:val="4"/>
        <w:keepNext/>
        <w:keepLines/>
        <w:pageBreakBefore w:val="0"/>
        <w:widowControl w:val="0"/>
        <w:tabs>
          <w:tab w:val="left" w:pos="567"/>
        </w:tabs>
        <w:kinsoku/>
        <w:wordWrap/>
        <w:overflowPunct/>
        <w:topLinePunct w:val="0"/>
        <w:autoSpaceDE/>
        <w:autoSpaceDN/>
        <w:bidi w:val="0"/>
        <w:adjustRightInd w:val="0"/>
        <w:snapToGrid w:val="0"/>
        <w:spacing w:before="157" w:beforeLines="50" w:after="0"/>
        <w:ind w:firstLine="562" w:firstLineChars="200"/>
        <w:textAlignment w:val="auto"/>
        <w:outlineLvl w:val="1"/>
        <w:rPr>
          <w:rFonts w:hint="default" w:ascii="Times New Roman" w:hAnsi="Times New Roman" w:eastAsia="仿宋" w:cs="Times New Roman"/>
          <w:color w:val="auto"/>
          <w:sz w:val="28"/>
          <w:szCs w:val="28"/>
        </w:rPr>
      </w:pPr>
      <w:bookmarkStart w:id="303" w:name="_Toc15271"/>
      <w:r>
        <w:rPr>
          <w:rFonts w:hint="default" w:ascii="Times New Roman" w:hAnsi="Times New Roman" w:eastAsia="仿宋" w:cs="Times New Roman"/>
          <w:color w:val="auto"/>
          <w:sz w:val="28"/>
          <w:szCs w:val="28"/>
        </w:rPr>
        <w:t>3.7.3外部救援队伍</w:t>
      </w:r>
      <w:bookmarkEnd w:id="294"/>
      <w:bookmarkEnd w:id="295"/>
      <w:bookmarkEnd w:id="296"/>
      <w:bookmarkEnd w:id="297"/>
      <w:bookmarkEnd w:id="298"/>
      <w:bookmarkEnd w:id="299"/>
      <w:bookmarkEnd w:id="300"/>
      <w:bookmarkEnd w:id="301"/>
      <w:bookmarkEnd w:id="302"/>
      <w:bookmarkEnd w:id="303"/>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外部救援队伍均为政府职能部门或服务性机构，企业虽未与有关部门签订应急救援协议或互救协议，一旦发生突发环境事件，通过信息传递需要实施外部救援时，相关部门本着“以人为本、快速响应”的原则，有责任和义务对本公司进行应急救援。</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b/>
          <w:color w:val="auto"/>
          <w:sz w:val="24"/>
        </w:rPr>
      </w:pPr>
      <w:r>
        <w:rPr>
          <w:rFonts w:hint="default" w:ascii="Times New Roman" w:hAnsi="Times New Roman" w:eastAsia="仿宋" w:cs="Times New Roman"/>
          <w:color w:val="auto"/>
          <w:sz w:val="28"/>
          <w:szCs w:val="28"/>
        </w:rPr>
        <w:t>外部救援机构名单见表3.7-3。</w:t>
      </w: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center"/>
        <w:textAlignment w:val="auto"/>
        <w:rPr>
          <w:rFonts w:hint="default" w:ascii="Times New Roman" w:hAnsi="Times New Roman" w:eastAsia="仿宋" w:cs="Times New Roman"/>
          <w:b/>
          <w:color w:val="auto"/>
          <w:sz w:val="24"/>
        </w:rPr>
      </w:pPr>
    </w:p>
    <w:p>
      <w:pPr>
        <w:keepNext w:val="0"/>
        <w:keepLines w:val="0"/>
        <w:pageBreakBefore w:val="0"/>
        <w:widowControl w:val="0"/>
        <w:kinsoku/>
        <w:wordWrap/>
        <w:overflowPunct/>
        <w:topLinePunct w:val="0"/>
        <w:autoSpaceDE/>
        <w:autoSpaceDN/>
        <w:bidi w:val="0"/>
        <w:adjustRightInd w:val="0"/>
        <w:snapToGrid w:val="0"/>
        <w:spacing w:line="360" w:lineRule="auto"/>
        <w:ind w:firstLine="482" w:firstLineChars="200"/>
        <w:jc w:val="center"/>
        <w:textAlignment w:val="auto"/>
        <w:rPr>
          <w:rFonts w:hint="default"/>
          <w:color w:val="auto"/>
        </w:rPr>
      </w:pPr>
      <w:r>
        <w:rPr>
          <w:rFonts w:hint="default" w:ascii="Times New Roman" w:hAnsi="Times New Roman" w:eastAsia="仿宋" w:cs="Times New Roman"/>
          <w:b/>
          <w:color w:val="auto"/>
          <w:sz w:val="24"/>
        </w:rPr>
        <w:t>表3.7-3外部救援机构联系方式</w:t>
      </w:r>
    </w:p>
    <w:tbl>
      <w:tblPr>
        <w:tblStyle w:val="16"/>
        <w:tblpPr w:leftFromText="180" w:rightFromText="180" w:vertAnchor="text" w:horzAnchor="page" w:tblpX="1815" w:tblpY="529"/>
        <w:tblOverlap w:val="never"/>
        <w:tblW w:w="8588"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62"/>
        <w:gridCol w:w="5310"/>
        <w:gridCol w:w="251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blHeader/>
        </w:trPr>
        <w:tc>
          <w:tcPr>
            <w:tcW w:w="762" w:type="dxa"/>
            <w:tcBorders>
              <w:tl2br w:val="nil"/>
              <w:tr2bl w:val="nil"/>
            </w:tcBorders>
            <w:noWrap w:val="0"/>
            <w:vAlign w:val="center"/>
          </w:tcPr>
          <w:p>
            <w:pPr>
              <w:pStyle w:val="25"/>
              <w:keepNext w:val="0"/>
              <w:keepLines w:val="0"/>
              <w:pageBreakBefore w:val="0"/>
              <w:numPr>
                <w:ilvl w:val="0"/>
                <w:numId w:val="0"/>
              </w:numPr>
              <w:kinsoku/>
              <w:wordWrap/>
              <w:overflowPunct/>
              <w:topLinePunct w:val="0"/>
              <w:autoSpaceDE/>
              <w:autoSpaceDN/>
              <w:bidi w:val="0"/>
              <w:adjustRightInd w:val="0"/>
              <w:snapToGrid w:val="0"/>
              <w:spacing w:after="0" w:line="440" w:lineRule="exact"/>
              <w:ind w:left="0" w:leftChars="0" w:right="0" w:rightChars="0" w:firstLine="0" w:firstLineChars="0"/>
              <w:jc w:val="center"/>
              <w:textAlignment w:val="auto"/>
              <w:rPr>
                <w:rFonts w:hint="default" w:ascii="Times New Roman" w:hAnsi="Times New Roman" w:eastAsia="仿宋" w:cs="Times New Roman"/>
                <w:b/>
                <w:bCs/>
                <w:color w:val="auto"/>
                <w:sz w:val="24"/>
                <w:szCs w:val="24"/>
                <w:highlight w:val="none"/>
                <w:lang w:eastAsia="zh-CN"/>
              </w:rPr>
            </w:pPr>
            <w:bookmarkStart w:id="304" w:name="_Toc27406"/>
            <w:bookmarkStart w:id="305" w:name="_Toc13810_WPSOffice_Level1"/>
            <w:bookmarkStart w:id="306" w:name="_Toc10598"/>
            <w:bookmarkStart w:id="307" w:name="_Toc524649950"/>
            <w:bookmarkStart w:id="308" w:name="_Toc514885636"/>
            <w:bookmarkStart w:id="309" w:name="_Toc15254"/>
            <w:bookmarkStart w:id="310" w:name="_Toc4859"/>
            <w:bookmarkStart w:id="311" w:name="_Toc30285"/>
            <w:bookmarkStart w:id="312" w:name="_Toc12720"/>
            <w:bookmarkStart w:id="313" w:name="_Toc21463"/>
            <w:bookmarkStart w:id="314" w:name="_Toc9739_WPSOffice_Level1"/>
            <w:bookmarkStart w:id="315" w:name="_Toc29287"/>
            <w:bookmarkStart w:id="316" w:name="_Toc29629"/>
            <w:bookmarkStart w:id="317" w:name="_Toc28927"/>
            <w:bookmarkStart w:id="318" w:name="_Toc22838_WPSOffice_Level1"/>
            <w:bookmarkStart w:id="319" w:name="_Toc19874"/>
            <w:bookmarkStart w:id="320" w:name="_Toc14952"/>
            <w:r>
              <w:rPr>
                <w:rFonts w:hint="default" w:ascii="Times New Roman" w:hAnsi="Times New Roman" w:eastAsia="仿宋" w:cs="Times New Roman"/>
                <w:b/>
                <w:bCs/>
                <w:color w:val="auto"/>
                <w:sz w:val="24"/>
                <w:szCs w:val="24"/>
                <w:highlight w:val="none"/>
                <w:lang w:eastAsia="zh-CN"/>
              </w:rPr>
              <w:t>序号</w:t>
            </w:r>
          </w:p>
        </w:tc>
        <w:tc>
          <w:tcPr>
            <w:tcW w:w="5310" w:type="dxa"/>
            <w:tcBorders>
              <w:tl2br w:val="nil"/>
              <w:tr2bl w:val="nil"/>
            </w:tcBorders>
            <w:noWrap w:val="0"/>
            <w:vAlign w:val="center"/>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b/>
                <w:bCs/>
                <w:color w:val="auto"/>
                <w:sz w:val="24"/>
                <w:szCs w:val="24"/>
                <w:highlight w:val="none"/>
                <w:lang w:val="en-US" w:eastAsia="zh-CN"/>
              </w:rPr>
            </w:pPr>
            <w:r>
              <w:rPr>
                <w:rFonts w:hint="default" w:ascii="Times New Roman" w:hAnsi="Times New Roman" w:eastAsia="仿宋" w:cs="Times New Roman"/>
                <w:b/>
                <w:bCs/>
                <w:color w:val="auto"/>
                <w:sz w:val="24"/>
                <w:szCs w:val="24"/>
                <w:highlight w:val="none"/>
                <w:lang w:val="en-US" w:eastAsia="zh-CN"/>
              </w:rPr>
              <w:t>单位</w:t>
            </w:r>
          </w:p>
        </w:tc>
        <w:tc>
          <w:tcPr>
            <w:tcW w:w="2516" w:type="dxa"/>
            <w:tcBorders>
              <w:tl2br w:val="nil"/>
              <w:tr2bl w:val="nil"/>
            </w:tcBorders>
            <w:noWrap w:val="0"/>
            <w:vAlign w:val="center"/>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b/>
                <w:bCs/>
                <w:color w:val="auto"/>
                <w:sz w:val="24"/>
                <w:szCs w:val="24"/>
                <w:highlight w:val="none"/>
                <w:lang w:eastAsia="zh-CN"/>
              </w:rPr>
            </w:pPr>
            <w:r>
              <w:rPr>
                <w:rFonts w:hint="default" w:ascii="Times New Roman" w:hAnsi="Times New Roman" w:eastAsia="仿宋" w:cs="Times New Roman"/>
                <w:b/>
                <w:bCs/>
                <w:color w:val="auto"/>
                <w:sz w:val="24"/>
                <w:szCs w:val="24"/>
                <w:highlight w:val="none"/>
                <w:lang w:eastAsia="zh-CN"/>
              </w:rPr>
              <w:t>联系电话</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both"/>
              <w:textAlignment w:val="auto"/>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w:t>
            </w:r>
          </w:p>
        </w:tc>
        <w:tc>
          <w:tcPr>
            <w:tcW w:w="5310"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报警</w:t>
            </w:r>
          </w:p>
        </w:tc>
        <w:tc>
          <w:tcPr>
            <w:tcW w:w="2516"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both"/>
              <w:textAlignment w:val="auto"/>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w:t>
            </w:r>
          </w:p>
        </w:tc>
        <w:tc>
          <w:tcPr>
            <w:tcW w:w="5310"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火警</w:t>
            </w:r>
          </w:p>
        </w:tc>
        <w:tc>
          <w:tcPr>
            <w:tcW w:w="2516"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119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both"/>
              <w:textAlignment w:val="auto"/>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3</w:t>
            </w:r>
          </w:p>
        </w:tc>
        <w:tc>
          <w:tcPr>
            <w:tcW w:w="5310"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急救</w:t>
            </w:r>
          </w:p>
        </w:tc>
        <w:tc>
          <w:tcPr>
            <w:tcW w:w="2516"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5"/>
              <w:keepNext w:val="0"/>
              <w:keepLines w:val="0"/>
              <w:pageBreakBefore w:val="0"/>
              <w:kinsoku/>
              <w:wordWrap/>
              <w:overflowPunct/>
              <w:topLinePunct w:val="0"/>
              <w:autoSpaceDE/>
              <w:autoSpaceDN/>
              <w:bidi w:val="0"/>
              <w:adjustRightInd w:val="0"/>
              <w:snapToGrid w:val="0"/>
              <w:spacing w:after="0" w:line="440" w:lineRule="exact"/>
              <w:jc w:val="both"/>
              <w:textAlignment w:val="auto"/>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4</w:t>
            </w:r>
          </w:p>
        </w:tc>
        <w:tc>
          <w:tcPr>
            <w:tcW w:w="5310"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西咸新区环境保护局应急办</w:t>
            </w:r>
          </w:p>
        </w:tc>
        <w:tc>
          <w:tcPr>
            <w:tcW w:w="2516"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029-33186000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both"/>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5310"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西咸新区秦汉新城生态环境局</w:t>
            </w:r>
          </w:p>
        </w:tc>
        <w:tc>
          <w:tcPr>
            <w:tcW w:w="2516"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029-33185039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both"/>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6</w:t>
            </w:r>
          </w:p>
        </w:tc>
        <w:tc>
          <w:tcPr>
            <w:tcW w:w="5310"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西咸新区秦汉新城安监局</w:t>
            </w:r>
          </w:p>
        </w:tc>
        <w:tc>
          <w:tcPr>
            <w:tcW w:w="2516"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029-33185055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both"/>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7</w:t>
            </w:r>
          </w:p>
        </w:tc>
        <w:tc>
          <w:tcPr>
            <w:tcW w:w="5310"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咸阳市中心医院</w:t>
            </w:r>
          </w:p>
        </w:tc>
        <w:tc>
          <w:tcPr>
            <w:tcW w:w="2516"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029-33288692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both"/>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8</w:t>
            </w:r>
          </w:p>
        </w:tc>
        <w:tc>
          <w:tcPr>
            <w:tcW w:w="5310"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渭城街道办</w:t>
            </w:r>
          </w:p>
        </w:tc>
        <w:tc>
          <w:tcPr>
            <w:tcW w:w="2516" w:type="dxa"/>
            <w:tcBorders>
              <w:tl2br w:val="nil"/>
              <w:tr2bl w:val="nil"/>
            </w:tcBorders>
            <w:noWrap w:val="0"/>
            <w:vAlign w:val="top"/>
          </w:tcPr>
          <w:p>
            <w:pPr>
              <w:pStyle w:val="25"/>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029-33434112</w:t>
            </w:r>
          </w:p>
        </w:tc>
      </w:tr>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tbl>
    <w:p>
      <w:pPr>
        <w:pStyle w:val="13"/>
        <w:rPr>
          <w:rFonts w:hint="eastAsia"/>
          <w:color w:val="auto"/>
          <w:lang w:val="en-US" w:eastAsia="zh-CN"/>
        </w:rPr>
      </w:pPr>
    </w:p>
    <w:p>
      <w:pPr>
        <w:rPr>
          <w:rFonts w:hint="eastAsia" w:eastAsia="宋体"/>
          <w:color w:val="auto"/>
          <w:lang w:val="en-US" w:eastAsia="zh-CN"/>
        </w:rPr>
        <w:sectPr>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val="0"/>
        <w:snapToGrid w:val="0"/>
        <w:spacing w:before="0" w:beforeAutospacing="0" w:after="0" w:afterAutospacing="0" w:line="360" w:lineRule="auto"/>
        <w:jc w:val="center"/>
        <w:textAlignment w:val="auto"/>
        <w:rPr>
          <w:rFonts w:hint="default" w:ascii="Times New Roman" w:hAnsi="Times New Roman" w:eastAsia="仿宋" w:cs="Times New Roman"/>
          <w:color w:val="auto"/>
          <w:sz w:val="30"/>
          <w:szCs w:val="30"/>
          <w:lang w:val="en-US" w:eastAsia="zh-CN"/>
        </w:rPr>
      </w:pPr>
      <w:bookmarkStart w:id="321" w:name="_Toc3252"/>
      <w:bookmarkStart w:id="322" w:name="_Toc10010"/>
      <w:bookmarkStart w:id="323" w:name="_Toc11307"/>
      <w:bookmarkStart w:id="324" w:name="_Toc17732475"/>
      <w:bookmarkStart w:id="325" w:name="_Toc17801_WPSOffice_Level1"/>
      <w:bookmarkStart w:id="326" w:name="_Toc14254"/>
      <w:bookmarkStart w:id="327" w:name="_Toc496538153"/>
      <w:bookmarkStart w:id="328" w:name="_Toc26278"/>
      <w:bookmarkStart w:id="329" w:name="_Toc21562"/>
      <w:bookmarkStart w:id="330" w:name="_Toc9086_WPSOffice_Level1"/>
      <w:bookmarkStart w:id="331" w:name="_Toc15379_WPSOffice_Level1"/>
      <w:bookmarkStart w:id="332" w:name="_Toc965_WPSOffice_Level1"/>
      <w:bookmarkStart w:id="333" w:name="_Toc26970"/>
      <w:r>
        <w:rPr>
          <w:rFonts w:hint="default" w:ascii="Times New Roman" w:hAnsi="Times New Roman" w:eastAsia="仿宋" w:cs="Times New Roman"/>
          <w:color w:val="auto"/>
          <w:sz w:val="30"/>
          <w:szCs w:val="30"/>
          <w:lang w:val="en-US" w:eastAsia="zh-CN"/>
        </w:rPr>
        <w:t>4突发环境事件及其后果分析</w:t>
      </w:r>
      <w:bookmarkEnd w:id="321"/>
      <w:bookmarkEnd w:id="322"/>
      <w:bookmarkEnd w:id="323"/>
      <w:bookmarkEnd w:id="324"/>
      <w:bookmarkEnd w:id="325"/>
      <w:bookmarkEnd w:id="326"/>
      <w:bookmarkEnd w:id="327"/>
      <w:bookmarkEnd w:id="328"/>
      <w:bookmarkEnd w:id="329"/>
      <w:bookmarkEnd w:id="330"/>
      <w:bookmarkEnd w:id="331"/>
      <w:bookmarkEnd w:id="332"/>
      <w:bookmarkEnd w:id="333"/>
    </w:p>
    <w:p>
      <w:pPr>
        <w:pStyle w:val="2"/>
        <w:pageBreakBefore w:val="0"/>
        <w:widowControl w:val="0"/>
        <w:kinsoku/>
        <w:wordWrap/>
        <w:overflowPunct/>
        <w:topLinePunct w:val="0"/>
        <w:autoSpaceDE/>
        <w:autoSpaceDN/>
        <w:bidi w:val="0"/>
        <w:adjustRightInd w:val="0"/>
        <w:snapToGrid w:val="0"/>
        <w:spacing w:before="0" w:beforeAutospacing="0" w:after="0" w:afterAutospacing="0" w:line="360" w:lineRule="auto"/>
        <w:ind w:firstLine="562" w:firstLineChars="200"/>
        <w:textAlignment w:val="auto"/>
        <w:outlineLvl w:val="0"/>
        <w:rPr>
          <w:rFonts w:hint="default" w:ascii="Times New Roman" w:hAnsi="Times New Roman" w:eastAsia="仿宋" w:cs="Times New Roman"/>
          <w:color w:val="auto"/>
          <w:sz w:val="28"/>
          <w:szCs w:val="28"/>
        </w:rPr>
      </w:pPr>
      <w:bookmarkStart w:id="334" w:name="_Toc19244"/>
      <w:bookmarkStart w:id="335" w:name="_Toc13353_WPSOffice_Level1"/>
      <w:bookmarkStart w:id="336" w:name="_Toc17732476"/>
      <w:bookmarkStart w:id="337" w:name="_Toc490055039"/>
      <w:bookmarkStart w:id="338" w:name="_Toc3166_WPSOffice_Level1"/>
      <w:bookmarkStart w:id="339" w:name="_Toc24909"/>
      <w:bookmarkStart w:id="340" w:name="_Toc25848"/>
      <w:bookmarkStart w:id="341" w:name="_Toc496538154"/>
      <w:bookmarkStart w:id="342" w:name="_Toc17904"/>
      <w:bookmarkStart w:id="343" w:name="_Toc270_WPSOffice_Level1"/>
      <w:bookmarkStart w:id="344" w:name="_Toc7663"/>
      <w:bookmarkStart w:id="345" w:name="_Toc8403_WPSOffice_Level1"/>
      <w:bookmarkStart w:id="346" w:name="_Toc12899"/>
      <w:bookmarkStart w:id="347" w:name="_Toc20176"/>
      <w:r>
        <w:rPr>
          <w:rFonts w:hint="default" w:ascii="Times New Roman" w:hAnsi="Times New Roman" w:eastAsia="仿宋" w:cs="Times New Roman"/>
          <w:color w:val="auto"/>
          <w:sz w:val="28"/>
          <w:szCs w:val="28"/>
        </w:rPr>
        <w:t>4.1突发环境事件情景分析</w:t>
      </w:r>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p>
    <w:p>
      <w:pPr>
        <w:pStyle w:val="4"/>
        <w:pageBreakBefore w:val="0"/>
        <w:widowControl w:val="0"/>
        <w:kinsoku/>
        <w:wordWrap/>
        <w:overflowPunct/>
        <w:topLinePunct w:val="0"/>
        <w:autoSpaceDE/>
        <w:autoSpaceDN/>
        <w:bidi w:val="0"/>
        <w:adjustRightInd w:val="0"/>
        <w:snapToGrid w:val="0"/>
        <w:spacing w:beforeAutospacing="0" w:afterAutospacing="0" w:line="360" w:lineRule="auto"/>
        <w:ind w:firstLine="562" w:firstLineChars="200"/>
        <w:textAlignment w:val="auto"/>
        <w:outlineLvl w:val="1"/>
        <w:rPr>
          <w:rFonts w:hint="default" w:ascii="Times New Roman" w:hAnsi="Times New Roman" w:eastAsia="仿宋" w:cs="Times New Roman"/>
          <w:color w:val="auto"/>
          <w:sz w:val="28"/>
          <w:szCs w:val="28"/>
        </w:rPr>
      </w:pPr>
      <w:bookmarkStart w:id="348" w:name="_Toc23079_WPSOffice_Level2"/>
      <w:bookmarkStart w:id="349" w:name="_Toc17732477"/>
      <w:bookmarkStart w:id="350" w:name="_Toc496538155"/>
      <w:bookmarkStart w:id="351" w:name="_Toc11999"/>
      <w:bookmarkStart w:id="352" w:name="_Toc1291"/>
      <w:bookmarkStart w:id="353" w:name="_Toc10720"/>
      <w:bookmarkStart w:id="354" w:name="_Toc30121"/>
      <w:bookmarkStart w:id="355" w:name="_Toc7638_WPSOffice_Level2"/>
      <w:bookmarkStart w:id="356" w:name="_Toc490055040"/>
      <w:r>
        <w:rPr>
          <w:rFonts w:hint="default" w:ascii="Times New Roman" w:hAnsi="Times New Roman" w:eastAsia="仿宋" w:cs="Times New Roman"/>
          <w:color w:val="auto"/>
          <w:sz w:val="28"/>
          <w:szCs w:val="28"/>
        </w:rPr>
        <w:t>4.1.1国内同类企业事故典型案例与原因分析</w:t>
      </w:r>
      <w:bookmarkEnd w:id="348"/>
      <w:bookmarkEnd w:id="349"/>
      <w:bookmarkEnd w:id="350"/>
      <w:bookmarkEnd w:id="351"/>
      <w:bookmarkEnd w:id="352"/>
      <w:bookmarkEnd w:id="353"/>
      <w:bookmarkEnd w:id="354"/>
      <w:bookmarkEnd w:id="355"/>
      <w:bookmarkEnd w:id="356"/>
    </w:p>
    <w:p>
      <w:pPr>
        <w:spacing w:line="360" w:lineRule="auto"/>
        <w:ind w:firstLine="560" w:firstLineChars="200"/>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随着危险化学品在工业方面的广泛应用，因操作和管理不慎而发生的</w:t>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HYPERLINK "http://www.hbsafety.cn/article/33/" \t "_blank" </w:instrText>
      </w:r>
      <w:r>
        <w:rPr>
          <w:rFonts w:hint="default" w:ascii="Times New Roman" w:hAnsi="Times New Roman" w:cs="Times New Roman"/>
          <w:color w:val="auto"/>
        </w:rPr>
        <w:fldChar w:fldCharType="separate"/>
      </w:r>
      <w:r>
        <w:rPr>
          <w:rFonts w:hint="default" w:ascii="Times New Roman" w:hAnsi="Times New Roman" w:eastAsia="仿宋" w:cs="Times New Roman"/>
          <w:color w:val="auto"/>
          <w:sz w:val="28"/>
          <w:szCs w:val="28"/>
        </w:rPr>
        <w:t>事故</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color w:val="auto"/>
          <w:sz w:val="28"/>
          <w:szCs w:val="28"/>
        </w:rPr>
        <w:t>屡见不鲜。根据调查，近年发生的危险化学品事故及危害情况如下所示。</w:t>
      </w:r>
    </w:p>
    <w:p>
      <w:pPr>
        <w:snapToGrid w:val="0"/>
        <w:spacing w:line="480" w:lineRule="exact"/>
        <w:jc w:val="center"/>
        <w:rPr>
          <w:rFonts w:hint="default" w:ascii="Times New Roman" w:hAnsi="Times New Roman" w:eastAsia="仿宋" w:cs="Times New Roman"/>
          <w:b/>
          <w:color w:val="auto"/>
          <w:sz w:val="24"/>
          <w:szCs w:val="28"/>
        </w:rPr>
      </w:pPr>
      <w:r>
        <w:rPr>
          <w:rFonts w:hint="default" w:ascii="Times New Roman" w:hAnsi="Times New Roman" w:eastAsia="仿宋" w:cs="Times New Roman"/>
          <w:b/>
          <w:color w:val="auto"/>
          <w:sz w:val="24"/>
          <w:szCs w:val="28"/>
        </w:rPr>
        <w:t>表4.1-1   事故调查</w:t>
      </w:r>
    </w:p>
    <w:tbl>
      <w:tblPr>
        <w:tblStyle w:val="16"/>
        <w:tblW w:w="8294"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1298"/>
        <w:gridCol w:w="2063"/>
        <w:gridCol w:w="2610"/>
        <w:gridCol w:w="232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jc w:val="center"/>
        </w:trPr>
        <w:tc>
          <w:tcPr>
            <w:tcW w:w="1298" w:type="dxa"/>
            <w:tcBorders>
              <w:tl2br w:val="nil"/>
              <w:tr2bl w:val="nil"/>
            </w:tcBorders>
            <w:vAlign w:val="center"/>
          </w:tcPr>
          <w:p>
            <w:pPr>
              <w:pStyle w:val="26"/>
              <w:topLinePunct/>
              <w:spacing w:before="15"/>
              <w:jc w:val="center"/>
              <w:rPr>
                <w:rFonts w:hint="default" w:ascii="Times New Roman" w:hAnsi="Times New Roman" w:eastAsia="仿宋" w:cs="Times New Roman"/>
                <w:bCs/>
                <w:color w:val="auto"/>
                <w:sz w:val="24"/>
                <w:szCs w:val="24"/>
                <w:highlight w:val="none"/>
              </w:rPr>
            </w:pPr>
            <w:r>
              <w:rPr>
                <w:rFonts w:hint="default" w:ascii="Times New Roman" w:hAnsi="Times New Roman" w:eastAsia="仿宋" w:cs="Times New Roman"/>
                <w:bCs/>
                <w:color w:val="auto"/>
                <w:sz w:val="24"/>
                <w:szCs w:val="24"/>
                <w:highlight w:val="none"/>
              </w:rPr>
              <w:t>时 间</w:t>
            </w:r>
          </w:p>
        </w:tc>
        <w:tc>
          <w:tcPr>
            <w:tcW w:w="2063" w:type="dxa"/>
            <w:tcBorders>
              <w:tl2br w:val="nil"/>
              <w:tr2bl w:val="nil"/>
            </w:tcBorders>
            <w:vAlign w:val="center"/>
          </w:tcPr>
          <w:p>
            <w:pPr>
              <w:pStyle w:val="26"/>
              <w:topLinePunct/>
              <w:spacing w:before="15"/>
              <w:jc w:val="center"/>
              <w:rPr>
                <w:rFonts w:hint="eastAsia" w:ascii="Times New Roman" w:hAnsi="Times New Roman" w:eastAsia="仿宋" w:cs="Times New Roman"/>
                <w:bCs/>
                <w:color w:val="auto"/>
                <w:sz w:val="24"/>
                <w:szCs w:val="24"/>
                <w:highlight w:val="none"/>
                <w:lang w:eastAsia="zh-CN"/>
              </w:rPr>
            </w:pPr>
            <w:r>
              <w:rPr>
                <w:rFonts w:hint="eastAsia" w:ascii="Times New Roman" w:hAnsi="Times New Roman" w:cs="Times New Roman"/>
                <w:bCs/>
                <w:color w:val="auto"/>
                <w:sz w:val="24"/>
                <w:szCs w:val="24"/>
                <w:highlight w:val="none"/>
                <w:lang w:val="en-US" w:eastAsia="zh-CN"/>
              </w:rPr>
              <w:t>地点</w:t>
            </w:r>
          </w:p>
        </w:tc>
        <w:tc>
          <w:tcPr>
            <w:tcW w:w="2610" w:type="dxa"/>
            <w:tcBorders>
              <w:tl2br w:val="nil"/>
              <w:tr2bl w:val="nil"/>
            </w:tcBorders>
            <w:vAlign w:val="center"/>
          </w:tcPr>
          <w:p>
            <w:pPr>
              <w:pStyle w:val="26"/>
              <w:topLinePunct/>
              <w:spacing w:before="15"/>
              <w:jc w:val="center"/>
              <w:rPr>
                <w:rFonts w:hint="default" w:ascii="Times New Roman" w:hAnsi="Times New Roman" w:eastAsia="仿宋" w:cs="Times New Roman"/>
                <w:bCs/>
                <w:color w:val="auto"/>
                <w:sz w:val="24"/>
                <w:szCs w:val="24"/>
                <w:highlight w:val="none"/>
              </w:rPr>
            </w:pPr>
            <w:r>
              <w:rPr>
                <w:rFonts w:hint="default" w:ascii="Times New Roman" w:hAnsi="Times New Roman" w:eastAsia="仿宋" w:cs="Times New Roman"/>
                <w:bCs/>
                <w:color w:val="auto"/>
                <w:sz w:val="24"/>
                <w:szCs w:val="24"/>
                <w:highlight w:val="none"/>
              </w:rPr>
              <w:t>事故原因</w:t>
            </w:r>
          </w:p>
        </w:tc>
        <w:tc>
          <w:tcPr>
            <w:tcW w:w="2323" w:type="dxa"/>
            <w:tcBorders>
              <w:tl2br w:val="nil"/>
              <w:tr2bl w:val="nil"/>
            </w:tcBorders>
            <w:vAlign w:val="center"/>
          </w:tcPr>
          <w:p>
            <w:pPr>
              <w:pStyle w:val="26"/>
              <w:topLinePunct/>
              <w:spacing w:before="15"/>
              <w:jc w:val="center"/>
              <w:rPr>
                <w:rFonts w:hint="default" w:ascii="Times New Roman" w:hAnsi="Times New Roman" w:eastAsia="仿宋" w:cs="Times New Roman"/>
                <w:bCs/>
                <w:color w:val="auto"/>
                <w:sz w:val="24"/>
                <w:szCs w:val="24"/>
                <w:highlight w:val="none"/>
              </w:rPr>
            </w:pPr>
            <w:r>
              <w:rPr>
                <w:rFonts w:hint="default" w:ascii="Times New Roman" w:hAnsi="Times New Roman" w:eastAsia="仿宋" w:cs="Times New Roman"/>
                <w:bCs/>
                <w:color w:val="auto"/>
                <w:sz w:val="24"/>
                <w:szCs w:val="24"/>
                <w:highlight w:val="none"/>
              </w:rPr>
              <w:t>危害情况</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882" w:hRule="atLeast"/>
          <w:jc w:val="center"/>
        </w:trPr>
        <w:tc>
          <w:tcPr>
            <w:tcW w:w="1298" w:type="dxa"/>
            <w:tcBorders>
              <w:tl2br w:val="nil"/>
              <w:tr2bl w:val="nil"/>
            </w:tcBorders>
            <w:vAlign w:val="center"/>
          </w:tcPr>
          <w:p>
            <w:pPr>
              <w:widowControl/>
              <w:ind w:left="0" w:leftChars="0" w:firstLine="0" w:firstLineChars="0"/>
              <w:jc w:val="center"/>
              <w:rPr>
                <w:rFonts w:hint="default" w:ascii="Times New Roman" w:hAnsi="Times New Roman" w:eastAsia="仿宋" w:cs="Times New Roman"/>
                <w:bCs/>
                <w:color w:val="auto"/>
                <w:sz w:val="24"/>
                <w:szCs w:val="24"/>
                <w:highlight w:val="none"/>
                <w:lang w:val="en-US" w:eastAsia="zh-CN"/>
              </w:rPr>
            </w:pPr>
            <w:r>
              <w:rPr>
                <w:rFonts w:hint="eastAsia" w:ascii="Times New Roman" w:hAnsi="Times New Roman" w:eastAsia="宋体" w:cs="Times New Roman"/>
                <w:b w:val="0"/>
                <w:bCs/>
                <w:color w:val="auto"/>
                <w:sz w:val="24"/>
                <w:szCs w:val="24"/>
                <w:lang w:val="en-US" w:eastAsia="zh-CN"/>
              </w:rPr>
              <w:t>2017.6.9</w:t>
            </w:r>
          </w:p>
        </w:tc>
        <w:tc>
          <w:tcPr>
            <w:tcW w:w="2063" w:type="dxa"/>
            <w:tcBorders>
              <w:tl2br w:val="nil"/>
              <w:tr2bl w:val="nil"/>
            </w:tcBorders>
            <w:vAlign w:val="center"/>
          </w:tcPr>
          <w:p>
            <w:pPr>
              <w:widowControl/>
              <w:jc w:val="center"/>
              <w:rPr>
                <w:rFonts w:hint="default" w:ascii="Times New Roman" w:hAnsi="Times New Roman" w:eastAsia="仿宋" w:cs="Times New Roman"/>
                <w:bCs/>
                <w:color w:val="auto"/>
                <w:sz w:val="24"/>
                <w:szCs w:val="24"/>
                <w:highlight w:val="none"/>
              </w:rPr>
            </w:pPr>
            <w:r>
              <w:rPr>
                <w:rFonts w:hint="default" w:ascii="Times New Roman" w:hAnsi="Times New Roman" w:eastAsia="仿宋" w:cs="Times New Roman"/>
                <w:bCs/>
                <w:color w:val="auto"/>
                <w:sz w:val="24"/>
                <w:szCs w:val="24"/>
                <w:highlight w:val="none"/>
              </w:rPr>
              <w:t>洪江市群峰乡320国道冷水坳</w:t>
            </w:r>
          </w:p>
        </w:tc>
        <w:tc>
          <w:tcPr>
            <w:tcW w:w="2610" w:type="dxa"/>
            <w:tcBorders>
              <w:tl2br w:val="nil"/>
              <w:tr2bl w:val="nil"/>
            </w:tcBorders>
            <w:vAlign w:val="center"/>
          </w:tcPr>
          <w:p>
            <w:pPr>
              <w:widowControl/>
              <w:jc w:val="center"/>
              <w:rPr>
                <w:rFonts w:hint="default" w:ascii="Times New Roman" w:hAnsi="Times New Roman" w:eastAsia="仿宋" w:cs="Times New Roman"/>
                <w:bCs/>
                <w:color w:val="auto"/>
                <w:sz w:val="24"/>
                <w:szCs w:val="24"/>
                <w:highlight w:val="none"/>
                <w:lang w:val="en-US" w:eastAsia="zh-CN"/>
              </w:rPr>
            </w:pPr>
            <w:r>
              <w:rPr>
                <w:rFonts w:hint="default" w:ascii="Times New Roman" w:hAnsi="Times New Roman" w:eastAsia="仿宋" w:cs="Times New Roman"/>
                <w:bCs/>
                <w:color w:val="auto"/>
                <w:sz w:val="24"/>
                <w:szCs w:val="24"/>
                <w:highlight w:val="none"/>
                <w:lang w:val="en-US" w:eastAsia="zh-CN"/>
              </w:rPr>
              <w:t>润滑油原油槽罐车侧翻泄漏</w:t>
            </w:r>
          </w:p>
        </w:tc>
        <w:tc>
          <w:tcPr>
            <w:tcW w:w="2323" w:type="dxa"/>
            <w:tcBorders>
              <w:tl2br w:val="nil"/>
              <w:tr2bl w:val="nil"/>
            </w:tcBorders>
            <w:vAlign w:val="center"/>
          </w:tcPr>
          <w:p>
            <w:pPr>
              <w:widowControl/>
              <w:rPr>
                <w:rFonts w:hint="default" w:ascii="Times New Roman" w:hAnsi="Times New Roman" w:eastAsia="仿宋" w:cs="Times New Roman"/>
                <w:bCs/>
                <w:color w:val="auto"/>
                <w:sz w:val="24"/>
                <w:szCs w:val="24"/>
                <w:highlight w:val="none"/>
                <w:lang w:val="en-US" w:eastAsia="zh-CN"/>
              </w:rPr>
            </w:pPr>
            <w:r>
              <w:rPr>
                <w:rFonts w:hint="default" w:ascii="Times New Roman" w:hAnsi="Times New Roman" w:eastAsia="仿宋" w:cs="Times New Roman"/>
                <w:bCs/>
                <w:color w:val="auto"/>
                <w:sz w:val="24"/>
                <w:szCs w:val="24"/>
                <w:highlight w:val="none"/>
                <w:lang w:val="en-US" w:eastAsia="zh-CN"/>
              </w:rPr>
              <w:t>事故车被摆正拖离现场，交通恢复正常，事故未造成人员伤亡</w:t>
            </w:r>
            <w:r>
              <w:rPr>
                <w:rFonts w:hint="eastAsia" w:ascii="Times New Roman" w:hAnsi="Times New Roman" w:eastAsia="仿宋" w:cs="Times New Roman"/>
                <w:bCs/>
                <w:color w:val="auto"/>
                <w:sz w:val="24"/>
                <w:szCs w:val="24"/>
                <w:highlight w:val="none"/>
                <w:lang w:val="en-US" w:eastAsia="zh-CN"/>
              </w:rPr>
              <w:t>，未对环境造成影响</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882" w:hRule="atLeast"/>
          <w:jc w:val="center"/>
        </w:trPr>
        <w:tc>
          <w:tcPr>
            <w:tcW w:w="1298" w:type="dxa"/>
            <w:tcBorders>
              <w:tl2br w:val="nil"/>
              <w:tr2bl w:val="nil"/>
            </w:tcBorders>
            <w:vAlign w:val="center"/>
          </w:tcPr>
          <w:p>
            <w:pPr>
              <w:widowControl/>
              <w:ind w:left="0" w:leftChars="0" w:firstLine="0" w:firstLineChars="0"/>
              <w:jc w:val="center"/>
              <w:rPr>
                <w:rFonts w:hint="default" w:ascii="Times New Roman" w:hAnsi="Times New Roman" w:eastAsia="仿宋" w:cs="Times New Roman"/>
                <w:bCs/>
                <w:color w:val="auto"/>
                <w:kern w:val="2"/>
                <w:sz w:val="24"/>
                <w:szCs w:val="24"/>
                <w:highlight w:val="none"/>
                <w:lang w:val="en-US" w:eastAsia="zh-CN" w:bidi="ar-SA"/>
              </w:rPr>
            </w:pPr>
            <w:r>
              <w:rPr>
                <w:rFonts w:hint="default" w:ascii="Times New Roman" w:hAnsi="Times New Roman" w:eastAsia="仿宋" w:cs="Times New Roman"/>
                <w:bCs/>
                <w:color w:val="auto"/>
                <w:sz w:val="24"/>
                <w:szCs w:val="24"/>
                <w:highlight w:val="none"/>
              </w:rPr>
              <w:t>2015.7.21</w:t>
            </w:r>
          </w:p>
        </w:tc>
        <w:tc>
          <w:tcPr>
            <w:tcW w:w="2063" w:type="dxa"/>
            <w:tcBorders>
              <w:tl2br w:val="nil"/>
              <w:tr2bl w:val="nil"/>
            </w:tcBorders>
            <w:vAlign w:val="center"/>
          </w:tcPr>
          <w:p>
            <w:pPr>
              <w:widowControl/>
              <w:jc w:val="center"/>
              <w:rPr>
                <w:rFonts w:hint="default" w:ascii="Times New Roman" w:hAnsi="Times New Roman" w:eastAsia="仿宋" w:cs="Times New Roman"/>
                <w:bCs/>
                <w:color w:val="auto"/>
                <w:kern w:val="2"/>
                <w:sz w:val="24"/>
                <w:szCs w:val="24"/>
                <w:highlight w:val="none"/>
                <w:lang w:val="en-US" w:eastAsia="zh-CN" w:bidi="ar-SA"/>
              </w:rPr>
            </w:pPr>
            <w:r>
              <w:rPr>
                <w:rFonts w:hint="default" w:ascii="Times New Roman" w:hAnsi="Times New Roman" w:eastAsia="仿宋" w:cs="Times New Roman"/>
                <w:bCs/>
                <w:color w:val="auto"/>
                <w:sz w:val="24"/>
                <w:szCs w:val="24"/>
                <w:highlight w:val="none"/>
              </w:rPr>
              <w:t>陕西环能精滤科技有限公司</w:t>
            </w:r>
          </w:p>
        </w:tc>
        <w:tc>
          <w:tcPr>
            <w:tcW w:w="2610" w:type="dxa"/>
            <w:tcBorders>
              <w:tl2br w:val="nil"/>
              <w:tr2bl w:val="nil"/>
            </w:tcBorders>
            <w:vAlign w:val="center"/>
          </w:tcPr>
          <w:p>
            <w:pPr>
              <w:widowControl/>
              <w:jc w:val="center"/>
              <w:rPr>
                <w:rFonts w:hint="default" w:ascii="Times New Roman" w:hAnsi="Times New Roman" w:eastAsia="仿宋" w:cs="Times New Roman"/>
                <w:bCs/>
                <w:color w:val="auto"/>
                <w:kern w:val="2"/>
                <w:sz w:val="24"/>
                <w:szCs w:val="24"/>
                <w:highlight w:val="none"/>
                <w:lang w:val="en-US" w:eastAsia="zh-CN" w:bidi="ar-SA"/>
              </w:rPr>
            </w:pPr>
            <w:r>
              <w:rPr>
                <w:rFonts w:hint="default" w:ascii="Times New Roman" w:hAnsi="Times New Roman" w:eastAsia="仿宋" w:cs="Times New Roman"/>
                <w:bCs/>
                <w:color w:val="auto"/>
                <w:sz w:val="24"/>
                <w:szCs w:val="24"/>
                <w:highlight w:val="none"/>
              </w:rPr>
              <w:t>桶装存储废机油着火</w:t>
            </w:r>
          </w:p>
        </w:tc>
        <w:tc>
          <w:tcPr>
            <w:tcW w:w="2323" w:type="dxa"/>
            <w:tcBorders>
              <w:tl2br w:val="nil"/>
              <w:tr2bl w:val="nil"/>
            </w:tcBorders>
            <w:vAlign w:val="center"/>
          </w:tcPr>
          <w:p>
            <w:pPr>
              <w:widowControl/>
              <w:rPr>
                <w:rFonts w:hint="default" w:ascii="Times New Roman" w:hAnsi="Times New Roman" w:eastAsia="仿宋" w:cs="Times New Roman"/>
                <w:bCs/>
                <w:color w:val="auto"/>
                <w:kern w:val="2"/>
                <w:sz w:val="24"/>
                <w:szCs w:val="24"/>
                <w:highlight w:val="none"/>
                <w:lang w:val="en-US" w:eastAsia="zh-CN" w:bidi="ar-SA"/>
              </w:rPr>
            </w:pPr>
            <w:r>
              <w:rPr>
                <w:rFonts w:ascii="Times New Roman" w:hAnsi="Times New Roman" w:eastAsia="仿宋"/>
                <w:bCs/>
                <w:color w:val="auto"/>
                <w:sz w:val="24"/>
                <w:szCs w:val="24"/>
              </w:rPr>
              <w:t>造成400多平方米的厂房及堆放的生产油料烧毁外，未造成人员伤亡</w:t>
            </w:r>
            <w:r>
              <w:rPr>
                <w:rFonts w:hint="eastAsia" w:ascii="Times New Roman" w:hAnsi="Times New Roman" w:eastAsia="仿宋"/>
                <w:bCs/>
                <w:color w:val="auto"/>
                <w:sz w:val="24"/>
                <w:szCs w:val="24"/>
                <w:lang w:eastAsia="zh-CN"/>
              </w:rPr>
              <w:t>；</w:t>
            </w:r>
            <w:r>
              <w:rPr>
                <w:rFonts w:hint="eastAsia" w:ascii="Times New Roman" w:hAnsi="Times New Roman" w:eastAsia="仿宋"/>
                <w:bCs/>
                <w:color w:val="auto"/>
                <w:sz w:val="24"/>
                <w:szCs w:val="24"/>
                <w:lang w:val="en-US" w:eastAsia="zh-CN"/>
              </w:rPr>
              <w:t>废机油</w:t>
            </w:r>
            <w:r>
              <w:rPr>
                <w:rFonts w:hint="eastAsia" w:ascii="Times New Roman" w:hAnsi="Times New Roman" w:eastAsia="仿宋"/>
                <w:bCs/>
                <w:color w:val="auto"/>
                <w:sz w:val="24"/>
                <w:szCs w:val="24"/>
                <w:lang w:eastAsia="zh-CN"/>
              </w:rPr>
              <w:t>燃烧</w:t>
            </w:r>
            <w:r>
              <w:rPr>
                <w:rFonts w:hint="eastAsia" w:ascii="Times New Roman" w:hAnsi="Times New Roman" w:eastAsia="仿宋"/>
                <w:bCs/>
                <w:color w:val="auto"/>
                <w:sz w:val="24"/>
                <w:szCs w:val="24"/>
                <w:lang w:val="en-US" w:eastAsia="zh-CN"/>
              </w:rPr>
              <w:t>产生的SO</w:t>
            </w:r>
            <w:r>
              <w:rPr>
                <w:rFonts w:hint="eastAsia" w:ascii="Times New Roman" w:hAnsi="Times New Roman" w:eastAsia="仿宋"/>
                <w:bCs/>
                <w:color w:val="auto"/>
                <w:sz w:val="24"/>
                <w:szCs w:val="24"/>
                <w:vertAlign w:val="subscript"/>
                <w:lang w:val="en-US" w:eastAsia="zh-CN"/>
              </w:rPr>
              <w:t>2</w:t>
            </w:r>
            <w:r>
              <w:rPr>
                <w:rFonts w:hint="eastAsia" w:ascii="Times New Roman" w:hAnsi="Times New Roman" w:eastAsia="仿宋"/>
                <w:bCs/>
                <w:color w:val="auto"/>
                <w:sz w:val="24"/>
                <w:szCs w:val="24"/>
                <w:lang w:val="en-US" w:eastAsia="zh-CN"/>
              </w:rPr>
              <w:t>、CO等</w:t>
            </w:r>
            <w:r>
              <w:rPr>
                <w:rFonts w:hint="eastAsia" w:ascii="Times New Roman" w:hAnsi="Times New Roman" w:eastAsia="仿宋"/>
                <w:bCs/>
                <w:color w:val="auto"/>
                <w:sz w:val="24"/>
                <w:szCs w:val="24"/>
                <w:lang w:eastAsia="zh-CN"/>
              </w:rPr>
              <w:t>产物通过大气扩散影响周围大气环境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882" w:hRule="atLeast"/>
          <w:jc w:val="center"/>
        </w:trPr>
        <w:tc>
          <w:tcPr>
            <w:tcW w:w="1298" w:type="dxa"/>
            <w:tcBorders>
              <w:tl2br w:val="nil"/>
              <w:tr2bl w:val="nil"/>
            </w:tcBorders>
            <w:vAlign w:val="center"/>
          </w:tcPr>
          <w:p>
            <w:pPr>
              <w:widowControl/>
              <w:ind w:left="0" w:leftChars="0" w:firstLine="0" w:firstLineChars="0"/>
              <w:jc w:val="center"/>
              <w:rPr>
                <w:rFonts w:hint="default" w:ascii="Times New Roman" w:hAnsi="Times New Roman" w:eastAsia="仿宋" w:cs="Times New Roman"/>
                <w:bCs/>
                <w:color w:val="auto"/>
                <w:sz w:val="24"/>
                <w:szCs w:val="24"/>
                <w:highlight w:val="none"/>
                <w:lang w:val="en-US"/>
              </w:rPr>
            </w:pPr>
            <w:r>
              <w:rPr>
                <w:rFonts w:hint="eastAsia" w:ascii="Times New Roman" w:hAnsi="Times New Roman" w:eastAsia="仿宋" w:cs="Times New Roman"/>
                <w:bCs/>
                <w:color w:val="auto"/>
                <w:sz w:val="24"/>
                <w:szCs w:val="24"/>
                <w:highlight w:val="none"/>
                <w:lang w:val="en-US" w:eastAsia="zh-CN"/>
              </w:rPr>
              <w:t>2007.2.16</w:t>
            </w:r>
          </w:p>
        </w:tc>
        <w:tc>
          <w:tcPr>
            <w:tcW w:w="2063" w:type="dxa"/>
            <w:tcBorders>
              <w:tl2br w:val="nil"/>
              <w:tr2bl w:val="nil"/>
            </w:tcBorders>
            <w:vAlign w:val="center"/>
          </w:tcPr>
          <w:p>
            <w:pPr>
              <w:widowControl/>
              <w:jc w:val="center"/>
              <w:rPr>
                <w:rFonts w:hint="default" w:ascii="Times New Roman" w:hAnsi="Times New Roman" w:eastAsia="仿宋" w:cs="Times New Roman"/>
                <w:bCs/>
                <w:color w:val="auto"/>
                <w:sz w:val="24"/>
                <w:szCs w:val="24"/>
                <w:highlight w:val="none"/>
              </w:rPr>
            </w:pPr>
            <w:r>
              <w:rPr>
                <w:rFonts w:hint="default" w:ascii="Times New Roman" w:hAnsi="Times New Roman" w:eastAsia="仿宋" w:cs="Times New Roman"/>
                <w:bCs/>
                <w:color w:val="auto"/>
                <w:sz w:val="24"/>
                <w:szCs w:val="24"/>
                <w:highlight w:val="none"/>
              </w:rPr>
              <w:t>美国瓦莱罗能源公司McKee炼油厂</w:t>
            </w:r>
          </w:p>
        </w:tc>
        <w:tc>
          <w:tcPr>
            <w:tcW w:w="2610" w:type="dxa"/>
            <w:tcBorders>
              <w:tl2br w:val="nil"/>
              <w:tr2bl w:val="nil"/>
            </w:tcBorders>
            <w:vAlign w:val="center"/>
          </w:tcPr>
          <w:p>
            <w:pPr>
              <w:widowControl/>
              <w:jc w:val="center"/>
              <w:rPr>
                <w:rFonts w:hint="eastAsia" w:ascii="Times New Roman" w:hAnsi="Times New Roman" w:eastAsia="仿宋" w:cs="Times New Roman"/>
                <w:bCs/>
                <w:color w:val="auto"/>
                <w:sz w:val="24"/>
                <w:szCs w:val="24"/>
                <w:highlight w:val="none"/>
                <w:lang w:val="en-US" w:eastAsia="zh-CN"/>
              </w:rPr>
            </w:pPr>
            <w:r>
              <w:rPr>
                <w:rFonts w:hint="eastAsia" w:ascii="Times New Roman" w:hAnsi="Times New Roman" w:eastAsia="仿宋" w:cs="Times New Roman"/>
                <w:bCs/>
                <w:color w:val="auto"/>
                <w:sz w:val="24"/>
                <w:szCs w:val="24"/>
                <w:highlight w:val="none"/>
                <w:lang w:val="en-US" w:eastAsia="zh-CN"/>
              </w:rPr>
              <w:t>操作不当丙烷喷射式泄漏</w:t>
            </w:r>
          </w:p>
        </w:tc>
        <w:tc>
          <w:tcPr>
            <w:tcW w:w="2323" w:type="dxa"/>
            <w:tcBorders>
              <w:tl2br w:val="nil"/>
              <w:tr2bl w:val="nil"/>
            </w:tcBorders>
            <w:vAlign w:val="center"/>
          </w:tcPr>
          <w:p>
            <w:pPr>
              <w:widowControl/>
              <w:rPr>
                <w:rFonts w:ascii="Times New Roman" w:hAnsi="Times New Roman" w:eastAsia="仿宋"/>
                <w:bCs/>
                <w:color w:val="auto"/>
                <w:sz w:val="24"/>
                <w:szCs w:val="24"/>
              </w:rPr>
            </w:pPr>
            <w:r>
              <w:rPr>
                <w:rFonts w:hint="eastAsia" w:ascii="Times New Roman" w:hAnsi="Times New Roman" w:eastAsia="仿宋"/>
                <w:bCs/>
                <w:color w:val="auto"/>
                <w:sz w:val="24"/>
                <w:szCs w:val="24"/>
              </w:rPr>
              <w:t>2名瓦莱罗公司员工和1名承包商严重烧伤，1名消防队员在救援过程中中度烧伤，10名员工轻伤</w:t>
            </w:r>
          </w:p>
        </w:tc>
      </w:tr>
    </w:tbl>
    <w:p>
      <w:pPr>
        <w:spacing w:line="276" w:lineRule="auto"/>
        <w:ind w:firstLine="560" w:firstLineChars="200"/>
        <w:jc w:val="left"/>
        <w:rPr>
          <w:rFonts w:hint="default" w:ascii="Times New Roman" w:hAnsi="Times New Roman" w:eastAsia="仿宋" w:cs="Times New Roman"/>
          <w:color w:val="auto"/>
          <w:kern w:val="0"/>
          <w:sz w:val="28"/>
          <w:szCs w:val="28"/>
        </w:rPr>
      </w:pPr>
      <w:r>
        <w:rPr>
          <w:rFonts w:hint="default" w:ascii="Times New Roman" w:hAnsi="Times New Roman" w:eastAsia="仿宋" w:cs="Times New Roman"/>
          <w:color w:val="auto"/>
          <w:kern w:val="0"/>
          <w:sz w:val="28"/>
          <w:szCs w:val="28"/>
        </w:rPr>
        <w:t>经分析</w:t>
      </w:r>
      <w:r>
        <w:rPr>
          <w:rFonts w:hint="default" w:ascii="Times New Roman" w:hAnsi="Times New Roman" w:eastAsia="仿宋" w:cs="Times New Roman"/>
          <w:color w:val="auto"/>
          <w:kern w:val="0"/>
          <w:sz w:val="28"/>
          <w:szCs w:val="28"/>
          <w:lang w:eastAsia="zh-CN"/>
        </w:rPr>
        <w:t>我</w:t>
      </w:r>
      <w:r>
        <w:rPr>
          <w:rFonts w:hint="default" w:ascii="Times New Roman" w:hAnsi="Times New Roman" w:eastAsia="仿宋" w:cs="Times New Roman"/>
          <w:color w:val="auto"/>
          <w:kern w:val="0"/>
          <w:sz w:val="28"/>
          <w:szCs w:val="28"/>
        </w:rPr>
        <w:t>公司物料特性，所用危险化学品以可燃性物质为主，因此，危化品的泄漏及火灾事故是</w:t>
      </w:r>
      <w:r>
        <w:rPr>
          <w:rFonts w:hint="default" w:ascii="Times New Roman" w:hAnsi="Times New Roman" w:eastAsia="仿宋" w:cs="Times New Roman"/>
          <w:color w:val="auto"/>
          <w:kern w:val="0"/>
          <w:sz w:val="28"/>
          <w:szCs w:val="28"/>
          <w:lang w:eastAsia="zh-CN"/>
        </w:rPr>
        <w:t>我</w:t>
      </w:r>
      <w:r>
        <w:rPr>
          <w:rFonts w:hint="default" w:ascii="Times New Roman" w:hAnsi="Times New Roman" w:eastAsia="仿宋" w:cs="Times New Roman"/>
          <w:color w:val="auto"/>
          <w:kern w:val="0"/>
          <w:sz w:val="28"/>
          <w:szCs w:val="28"/>
        </w:rPr>
        <w:t>公司的主要风险因素。化学物质发生泄露时，逸入大气或者进入地表水体，将产生污染事故。火灾事故会产生次生环境问题。</w:t>
      </w:r>
    </w:p>
    <w:p>
      <w:pPr>
        <w:pStyle w:val="4"/>
        <w:pageBreakBefore w:val="0"/>
        <w:widowControl w:val="0"/>
        <w:kinsoku/>
        <w:wordWrap/>
        <w:overflowPunct/>
        <w:topLinePunct w:val="0"/>
        <w:autoSpaceDE/>
        <w:autoSpaceDN/>
        <w:bidi w:val="0"/>
        <w:adjustRightInd w:val="0"/>
        <w:snapToGrid w:val="0"/>
        <w:spacing w:beforeAutospacing="0" w:afterAutospacing="0" w:line="360" w:lineRule="auto"/>
        <w:textAlignment w:val="auto"/>
        <w:outlineLvl w:val="1"/>
        <w:rPr>
          <w:rFonts w:hint="default" w:ascii="Times New Roman" w:hAnsi="Times New Roman" w:eastAsia="仿宋" w:cs="Times New Roman"/>
          <w:color w:val="auto"/>
          <w:sz w:val="28"/>
          <w:szCs w:val="28"/>
        </w:rPr>
      </w:pPr>
      <w:bookmarkStart w:id="357" w:name="_Toc30955"/>
      <w:bookmarkStart w:id="358" w:name="_Toc11945"/>
      <w:bookmarkStart w:id="359" w:name="_Toc24401"/>
      <w:r>
        <w:rPr>
          <w:rFonts w:hint="default" w:ascii="Times New Roman" w:hAnsi="Times New Roman" w:eastAsia="仿宋" w:cs="Times New Roman"/>
          <w:color w:val="auto"/>
          <w:sz w:val="28"/>
          <w:szCs w:val="28"/>
        </w:rPr>
        <w:t>4.1.2本企业可能发生的突发环境事件情景</w:t>
      </w:r>
      <w:bookmarkEnd w:id="357"/>
      <w:bookmarkEnd w:id="358"/>
      <w:bookmarkEnd w:id="359"/>
    </w:p>
    <w:p>
      <w:pPr>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结合4.1.1中所述的同类企业突发环境事件原因，本企业可能发生的情景详见表4.1-2。</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jc w:val="center"/>
        <w:textAlignment w:val="auto"/>
        <w:rPr>
          <w:rFonts w:hint="default" w:ascii="Times New Roman" w:hAnsi="Times New Roman" w:eastAsia="仿宋" w:cs="Times New Roman"/>
          <w:b/>
          <w:color w:val="auto"/>
          <w:sz w:val="24"/>
        </w:rPr>
      </w:pPr>
      <w:bookmarkStart w:id="360" w:name="_Toc12626_WPSOffice_Level2"/>
      <w:bookmarkStart w:id="361" w:name="_Toc22468_WPSOffice_Level2"/>
    </w:p>
    <w:p>
      <w:pPr>
        <w:keepNext w:val="0"/>
        <w:keepLines w:val="0"/>
        <w:pageBreakBefore w:val="0"/>
        <w:widowControl w:val="0"/>
        <w:kinsoku/>
        <w:wordWrap/>
        <w:overflowPunct/>
        <w:topLinePunct w:val="0"/>
        <w:autoSpaceDE/>
        <w:autoSpaceDN/>
        <w:bidi w:val="0"/>
        <w:adjustRightInd/>
        <w:snapToGrid/>
        <w:spacing w:line="360" w:lineRule="auto"/>
        <w:ind w:firstLine="482" w:firstLineChars="200"/>
        <w:jc w:val="center"/>
        <w:textAlignment w:val="auto"/>
        <w:rPr>
          <w:rFonts w:hint="default" w:ascii="Times New Roman" w:hAnsi="Times New Roman" w:eastAsia="仿宋" w:cs="Times New Roman"/>
          <w:b/>
          <w:color w:val="auto"/>
          <w:sz w:val="24"/>
        </w:rPr>
      </w:pPr>
      <w:r>
        <w:rPr>
          <w:rFonts w:hint="default" w:ascii="Times New Roman" w:hAnsi="Times New Roman" w:eastAsia="仿宋" w:cs="Times New Roman"/>
          <w:b/>
          <w:color w:val="auto"/>
          <w:sz w:val="24"/>
        </w:rPr>
        <w:t>表4.1-2企业可能发生的突发环境事件情景</w:t>
      </w:r>
      <w:bookmarkEnd w:id="360"/>
      <w:bookmarkEnd w:id="361"/>
    </w:p>
    <w:tbl>
      <w:tblPr>
        <w:tblStyle w:val="16"/>
        <w:tblW w:w="8528"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58"/>
        <w:gridCol w:w="1844"/>
        <w:gridCol w:w="572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58" w:type="dxa"/>
            <w:noWrap w:val="0"/>
            <w:vAlign w:val="center"/>
          </w:tcPr>
          <w:p>
            <w:pP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序号</w:t>
            </w:r>
          </w:p>
        </w:tc>
        <w:tc>
          <w:tcPr>
            <w:tcW w:w="1844" w:type="dxa"/>
            <w:noWrap w:val="0"/>
            <w:vAlign w:val="center"/>
          </w:tcPr>
          <w:p>
            <w:pP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突发事件类型</w:t>
            </w:r>
          </w:p>
        </w:tc>
        <w:tc>
          <w:tcPr>
            <w:tcW w:w="5726" w:type="dxa"/>
            <w:noWrap w:val="0"/>
            <w:vAlign w:val="center"/>
          </w:tcPr>
          <w:p>
            <w:pP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事件引发或次生突发环境事件的最坏情景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58" w:type="dxa"/>
            <w:noWrap w:val="0"/>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1</w:t>
            </w:r>
          </w:p>
        </w:tc>
        <w:tc>
          <w:tcPr>
            <w:tcW w:w="1844" w:type="dxa"/>
            <w:noWrap w:val="0"/>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火灾</w:t>
            </w:r>
            <w:r>
              <w:rPr>
                <w:rFonts w:hint="eastAsia" w:ascii="Times New Roman" w:hAnsi="Times New Roman" w:eastAsia="仿宋" w:cs="Times New Roman"/>
                <w:color w:val="auto"/>
                <w:sz w:val="24"/>
                <w:szCs w:val="24"/>
                <w:lang w:eastAsia="zh-CN"/>
              </w:rPr>
              <w:t>、</w:t>
            </w:r>
            <w:r>
              <w:rPr>
                <w:rFonts w:hint="eastAsia" w:ascii="Times New Roman" w:hAnsi="Times New Roman" w:eastAsia="仿宋" w:cs="Times New Roman"/>
                <w:color w:val="auto"/>
                <w:sz w:val="24"/>
                <w:szCs w:val="24"/>
                <w:lang w:val="en-US" w:eastAsia="zh-CN"/>
              </w:rPr>
              <w:t>爆炸</w:t>
            </w:r>
            <w:r>
              <w:rPr>
                <w:rFonts w:hint="default" w:ascii="Times New Roman" w:hAnsi="Times New Roman" w:eastAsia="仿宋" w:cs="Times New Roman"/>
                <w:color w:val="auto"/>
                <w:sz w:val="24"/>
                <w:szCs w:val="24"/>
              </w:rPr>
              <w:t>事故</w:t>
            </w:r>
          </w:p>
        </w:tc>
        <w:tc>
          <w:tcPr>
            <w:tcW w:w="5726" w:type="dxa"/>
            <w:noWrap w:val="0"/>
            <w:vAlign w:val="center"/>
          </w:tcPr>
          <w:p>
            <w:pPr>
              <w:rPr>
                <w:rFonts w:hint="eastAsia" w:ascii="Times New Roman" w:hAnsi="Times New Roman" w:eastAsia="仿宋" w:cs="Times New Roman"/>
                <w:color w:val="auto"/>
                <w:sz w:val="24"/>
                <w:szCs w:val="24"/>
                <w:lang w:eastAsia="zh-CN"/>
              </w:rPr>
            </w:pPr>
            <w:r>
              <w:rPr>
                <w:rFonts w:hint="eastAsia" w:ascii="Times New Roman" w:hAnsi="Times New Roman" w:eastAsia="仿宋" w:cs="Times New Roman"/>
                <w:color w:val="auto"/>
                <w:sz w:val="24"/>
                <w:szCs w:val="24"/>
                <w:lang w:val="en-US" w:eastAsia="zh-CN"/>
              </w:rPr>
              <w:t>丙烷、废机油、废润滑油及废乳化液</w:t>
            </w:r>
            <w:r>
              <w:rPr>
                <w:rFonts w:hint="default" w:ascii="Times New Roman" w:hAnsi="Times New Roman" w:eastAsia="仿宋" w:cs="Times New Roman"/>
                <w:color w:val="auto"/>
                <w:sz w:val="24"/>
                <w:szCs w:val="24"/>
              </w:rPr>
              <w:t>等易燃物质遇火种、热源、静电等发生火灾，导致大规模火灾事故</w:t>
            </w:r>
            <w:r>
              <w:rPr>
                <w:rFonts w:hint="eastAsia" w:ascii="Times New Roman" w:hAnsi="Times New Roman" w:eastAsia="仿宋" w:cs="Times New Roman"/>
                <w:color w:val="auto"/>
                <w:sz w:val="24"/>
                <w:szCs w:val="24"/>
                <w:lang w:eastAsia="zh-CN"/>
              </w:rPr>
              <w:t>引起大气环境污染</w:t>
            </w:r>
            <w:r>
              <w:rPr>
                <w:rFonts w:hint="default" w:ascii="Times New Roman" w:hAnsi="Times New Roman" w:eastAsia="仿宋" w:cs="Times New Roman"/>
                <w:color w:val="auto"/>
                <w:sz w:val="24"/>
                <w:szCs w:val="24"/>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58" w:type="dxa"/>
            <w:noWrap w:val="0"/>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2</w:t>
            </w:r>
          </w:p>
        </w:tc>
        <w:tc>
          <w:tcPr>
            <w:tcW w:w="1844" w:type="dxa"/>
            <w:noWrap w:val="0"/>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泄露</w:t>
            </w:r>
          </w:p>
        </w:tc>
        <w:tc>
          <w:tcPr>
            <w:tcW w:w="5726" w:type="dxa"/>
            <w:noWrap w:val="0"/>
            <w:vAlign w:val="center"/>
          </w:tcPr>
          <w:p>
            <w:pP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rPr>
              <w:t>泄露事故会导致油类物质流出库外，造成</w:t>
            </w:r>
            <w:r>
              <w:rPr>
                <w:rFonts w:hint="eastAsia" w:ascii="Times New Roman" w:hAnsi="Times New Roman" w:eastAsia="仿宋" w:cs="Times New Roman"/>
                <w:color w:val="auto"/>
                <w:sz w:val="24"/>
                <w:szCs w:val="24"/>
                <w:lang w:val="en-US" w:eastAsia="zh-CN"/>
              </w:rPr>
              <w:t>地表水</w:t>
            </w:r>
            <w:r>
              <w:rPr>
                <w:rFonts w:hint="default" w:ascii="Times New Roman" w:hAnsi="Times New Roman" w:eastAsia="仿宋" w:cs="Times New Roman"/>
                <w:color w:val="auto"/>
                <w:sz w:val="24"/>
                <w:szCs w:val="24"/>
              </w:rPr>
              <w:t>污染</w:t>
            </w:r>
            <w:r>
              <w:rPr>
                <w:rFonts w:hint="default" w:ascii="Times New Roman" w:hAnsi="Times New Roman" w:eastAsia="仿宋" w:cs="Times New Roman"/>
                <w:color w:val="auto"/>
                <w:sz w:val="24"/>
                <w:szCs w:val="24"/>
                <w:lang w:eastAsia="zh-CN"/>
              </w:rPr>
              <w:t>。</w:t>
            </w:r>
          </w:p>
        </w:tc>
      </w:tr>
    </w:tbl>
    <w:p>
      <w:pPr>
        <w:pStyle w:val="7"/>
        <w:adjustRightInd w:val="0"/>
        <w:snapToGrid w:val="0"/>
        <w:spacing w:after="0" w:line="360" w:lineRule="auto"/>
        <w:ind w:firstLine="560" w:firstLineChars="200"/>
        <w:rPr>
          <w:rFonts w:ascii="Times New Roman" w:hAnsi="Times New Roman" w:eastAsia="仿宋"/>
          <w:color w:val="auto"/>
          <w:szCs w:val="28"/>
        </w:rPr>
      </w:pPr>
      <w:bookmarkStart w:id="362" w:name="_Toc3782"/>
      <w:bookmarkStart w:id="363" w:name="_Toc27019_WPSOffice_Level1"/>
      <w:bookmarkStart w:id="364" w:name="_Toc496538162"/>
      <w:bookmarkStart w:id="365" w:name="_Toc6226_WPSOffice_Level1"/>
      <w:bookmarkStart w:id="366" w:name="_Toc26527_WPSOffice_Level1"/>
      <w:bookmarkStart w:id="367" w:name="_Toc2678_WPSOffice_Level1"/>
      <w:bookmarkStart w:id="368" w:name="_Toc7463"/>
      <w:bookmarkStart w:id="369" w:name="_Toc17732479"/>
      <w:bookmarkStart w:id="370" w:name="_Toc26000"/>
      <w:bookmarkStart w:id="371" w:name="_Toc18759"/>
      <w:bookmarkStart w:id="372" w:name="_Toc3279"/>
      <w:r>
        <w:rPr>
          <w:rFonts w:hint="eastAsia" w:ascii="Times New Roman" w:hAnsi="Times New Roman" w:eastAsia="仿宋"/>
          <w:color w:val="auto"/>
          <w:szCs w:val="28"/>
        </w:rPr>
        <w:t>根据</w:t>
      </w:r>
      <w:r>
        <w:rPr>
          <w:rFonts w:ascii="Times New Roman" w:hAnsi="Times New Roman" w:eastAsia="仿宋"/>
          <w:color w:val="auto"/>
          <w:szCs w:val="28"/>
        </w:rPr>
        <w:t>本公司可能发生的突发环境事件情景</w:t>
      </w:r>
      <w:r>
        <w:rPr>
          <w:rFonts w:hint="eastAsia" w:ascii="Times New Roman" w:hAnsi="Times New Roman" w:eastAsia="仿宋"/>
          <w:color w:val="auto"/>
          <w:szCs w:val="28"/>
        </w:rPr>
        <w:t>，环境风险物质的</w:t>
      </w:r>
      <w:r>
        <w:rPr>
          <w:rFonts w:ascii="Times New Roman" w:hAnsi="Times New Roman" w:eastAsia="仿宋"/>
          <w:color w:val="auto"/>
          <w:szCs w:val="28"/>
        </w:rPr>
        <w:t>影响程度和范围</w:t>
      </w:r>
      <w:r>
        <w:rPr>
          <w:rFonts w:hint="eastAsia" w:ascii="Times New Roman" w:hAnsi="Times New Roman" w:eastAsia="仿宋"/>
          <w:color w:val="auto"/>
          <w:szCs w:val="28"/>
        </w:rPr>
        <w:t>如下：</w:t>
      </w:r>
    </w:p>
    <w:p>
      <w:pPr>
        <w:pStyle w:val="7"/>
        <w:adjustRightInd w:val="0"/>
        <w:snapToGrid w:val="0"/>
        <w:spacing w:after="0" w:line="360" w:lineRule="auto"/>
        <w:ind w:firstLine="560" w:firstLineChars="200"/>
        <w:rPr>
          <w:rFonts w:ascii="Times New Roman" w:hAnsi="Times New Roman" w:eastAsia="仿宋"/>
          <w:color w:val="auto"/>
        </w:rPr>
      </w:pPr>
      <w:r>
        <w:rPr>
          <w:rFonts w:hint="eastAsia" w:ascii="Times New Roman" w:hAnsi="Times New Roman" w:eastAsia="仿宋"/>
          <w:color w:val="auto"/>
          <w:lang w:eastAsia="zh-CN"/>
        </w:rPr>
        <w:t>丙烷、废机油、废润滑油及废乳化液</w:t>
      </w:r>
      <w:r>
        <w:rPr>
          <w:rFonts w:hint="eastAsia" w:ascii="Times New Roman" w:hAnsi="Times New Roman" w:eastAsia="仿宋"/>
          <w:color w:val="auto"/>
        </w:rPr>
        <w:t>发生火灾后不完全燃烧产生的CO等烟气会对人体的影响。主要受影响居民为</w:t>
      </w:r>
      <w:r>
        <w:rPr>
          <w:rFonts w:hint="default" w:ascii="Times New Roman" w:hAnsi="Times New Roman" w:eastAsia="仿宋"/>
          <w:color w:val="auto"/>
        </w:rPr>
        <w:t>徐杨村</w:t>
      </w:r>
      <w:r>
        <w:rPr>
          <w:rFonts w:hint="eastAsia" w:ascii="Times New Roman" w:hAnsi="Times New Roman" w:eastAsia="仿宋"/>
          <w:color w:val="auto"/>
        </w:rPr>
        <w:t>、</w:t>
      </w:r>
      <w:r>
        <w:rPr>
          <w:rFonts w:hint="default" w:ascii="Times New Roman" w:hAnsi="Times New Roman" w:eastAsia="仿宋"/>
          <w:color w:val="auto"/>
        </w:rPr>
        <w:t>西杨村</w:t>
      </w:r>
      <w:r>
        <w:rPr>
          <w:rFonts w:hint="eastAsia" w:ascii="Times New Roman" w:hAnsi="Times New Roman" w:eastAsia="仿宋"/>
          <w:color w:val="auto"/>
          <w:lang w:eastAsia="zh-CN"/>
        </w:rPr>
        <w:t>、</w:t>
      </w:r>
      <w:r>
        <w:rPr>
          <w:rFonts w:hint="default" w:ascii="Times New Roman" w:hAnsi="Times New Roman" w:eastAsia="仿宋"/>
          <w:color w:val="auto"/>
        </w:rPr>
        <w:t>徐杨幼儿园</w:t>
      </w:r>
      <w:r>
        <w:rPr>
          <w:rFonts w:hint="eastAsia" w:ascii="Times New Roman" w:hAnsi="Times New Roman" w:eastAsia="仿宋"/>
          <w:color w:val="auto"/>
        </w:rPr>
        <w:t>以及</w:t>
      </w:r>
      <w:r>
        <w:rPr>
          <w:rFonts w:hint="default" w:ascii="Times New Roman" w:hAnsi="Times New Roman" w:eastAsia="仿宋"/>
          <w:color w:val="auto"/>
        </w:rPr>
        <w:t>徐杨高级职业中学</w:t>
      </w:r>
      <w:r>
        <w:rPr>
          <w:rFonts w:hint="eastAsia" w:ascii="Times New Roman" w:hAnsi="Times New Roman" w:eastAsia="仿宋"/>
          <w:color w:val="auto"/>
        </w:rPr>
        <w:t>，随着空气的稀释扩散，CO等烟气对受影响居民影响持续时间较短，此外，项目厂区设有围墙，因此项目突发环境事件发生时对其影响较小。</w:t>
      </w:r>
    </w:p>
    <w:p>
      <w:pPr>
        <w:pStyle w:val="2"/>
        <w:pageBreakBefore w:val="0"/>
        <w:widowControl w:val="0"/>
        <w:kinsoku/>
        <w:wordWrap/>
        <w:overflowPunct/>
        <w:topLinePunct w:val="0"/>
        <w:autoSpaceDE/>
        <w:autoSpaceDN/>
        <w:bidi w:val="0"/>
        <w:adjustRightInd w:val="0"/>
        <w:snapToGrid w:val="0"/>
        <w:spacing w:before="0" w:after="0" w:line="360" w:lineRule="auto"/>
        <w:ind w:firstLine="562" w:firstLineChars="200"/>
        <w:textAlignment w:val="auto"/>
        <w:outlineLvl w:val="0"/>
        <w:rPr>
          <w:rFonts w:hint="default" w:ascii="Times New Roman" w:hAnsi="Times New Roman" w:eastAsia="仿宋" w:cs="Times New Roman"/>
          <w:color w:val="auto"/>
          <w:lang w:val="en-US" w:eastAsia="zh-CN"/>
        </w:rPr>
      </w:pPr>
      <w:bookmarkStart w:id="373" w:name="_Toc21277"/>
      <w:bookmarkStart w:id="374" w:name="_Toc3170"/>
      <w:r>
        <w:rPr>
          <w:rFonts w:hint="default" w:ascii="Times New Roman" w:hAnsi="Times New Roman" w:eastAsia="仿宋" w:cs="Times New Roman"/>
          <w:color w:val="auto"/>
          <w:sz w:val="28"/>
          <w:szCs w:val="28"/>
        </w:rPr>
        <w:t>4.2涉及环境风险防控与应急措施、应急资源情况分析</w:t>
      </w:r>
      <w:bookmarkEnd w:id="362"/>
      <w:bookmarkEnd w:id="363"/>
      <w:bookmarkEnd w:id="364"/>
      <w:bookmarkEnd w:id="365"/>
      <w:bookmarkEnd w:id="366"/>
      <w:bookmarkEnd w:id="367"/>
      <w:bookmarkEnd w:id="368"/>
      <w:bookmarkEnd w:id="369"/>
      <w:bookmarkEnd w:id="370"/>
      <w:bookmarkEnd w:id="371"/>
      <w:bookmarkEnd w:id="372"/>
      <w:bookmarkEnd w:id="373"/>
      <w:bookmarkEnd w:id="374"/>
      <w:bookmarkStart w:id="375" w:name="_Toc17732481"/>
      <w:bookmarkStart w:id="376" w:name="_Toc30118_WPSOffice_Level2"/>
      <w:bookmarkStart w:id="377" w:name="_Toc6872_WPSOffice_Level2"/>
      <w:bookmarkStart w:id="378" w:name="_Toc17346"/>
    </w:p>
    <w:p>
      <w:pPr>
        <w:pStyle w:val="4"/>
        <w:pageBreakBefore w:val="0"/>
        <w:widowControl w:val="0"/>
        <w:tabs>
          <w:tab w:val="left" w:pos="567"/>
        </w:tabs>
        <w:kinsoku/>
        <w:wordWrap/>
        <w:overflowPunct/>
        <w:topLinePunct w:val="0"/>
        <w:autoSpaceDE/>
        <w:autoSpaceDN/>
        <w:bidi w:val="0"/>
        <w:adjustRightInd w:val="0"/>
        <w:snapToGrid w:val="0"/>
        <w:spacing w:beforeAutospacing="0" w:afterAutospacing="0" w:line="360" w:lineRule="auto"/>
        <w:ind w:left="0" w:leftChars="0" w:firstLine="562" w:firstLineChars="200"/>
        <w:textAlignment w:val="auto"/>
        <w:outlineLvl w:val="1"/>
        <w:rPr>
          <w:rFonts w:hint="default" w:ascii="Times New Roman" w:hAnsi="Times New Roman" w:eastAsia="仿宋" w:cs="Times New Roman"/>
          <w:color w:val="auto"/>
          <w:sz w:val="28"/>
          <w:szCs w:val="28"/>
          <w:highlight w:val="none"/>
        </w:rPr>
      </w:pPr>
      <w:bookmarkStart w:id="379" w:name="_Toc1180"/>
      <w:bookmarkStart w:id="380" w:name="_Toc26001"/>
      <w:bookmarkStart w:id="381" w:name="_Toc17371"/>
      <w:r>
        <w:rPr>
          <w:rFonts w:hint="default" w:ascii="Times New Roman" w:hAnsi="Times New Roman" w:eastAsia="仿宋" w:cs="Times New Roman"/>
          <w:color w:val="auto"/>
          <w:sz w:val="28"/>
          <w:szCs w:val="28"/>
          <w:highlight w:val="none"/>
        </w:rPr>
        <w:t>4.2.</w:t>
      </w:r>
      <w:r>
        <w:rPr>
          <w:rFonts w:hint="eastAsia" w:eastAsia="仿宋" w:cs="Times New Roman"/>
          <w:color w:val="auto"/>
          <w:sz w:val="28"/>
          <w:szCs w:val="28"/>
          <w:highlight w:val="none"/>
          <w:lang w:val="en-US" w:eastAsia="zh-CN"/>
        </w:rPr>
        <w:t>1</w:t>
      </w:r>
      <w:r>
        <w:rPr>
          <w:rFonts w:hint="default" w:ascii="Times New Roman" w:hAnsi="Times New Roman" w:eastAsia="仿宋" w:cs="Times New Roman"/>
          <w:color w:val="auto"/>
          <w:sz w:val="28"/>
          <w:szCs w:val="28"/>
          <w:highlight w:val="none"/>
        </w:rPr>
        <w:t>环境风险防控</w:t>
      </w:r>
      <w:bookmarkEnd w:id="375"/>
      <w:bookmarkEnd w:id="376"/>
      <w:bookmarkEnd w:id="377"/>
      <w:bookmarkEnd w:id="378"/>
      <w:bookmarkEnd w:id="379"/>
      <w:bookmarkEnd w:id="380"/>
      <w:bookmarkEnd w:id="381"/>
    </w:p>
    <w:p>
      <w:pPr>
        <w:ind w:firstLine="560" w:firstLineChars="200"/>
        <w:rPr>
          <w:rFonts w:hint="default" w:ascii="Times New Roman" w:hAnsi="Times New Roman" w:eastAsia="仿宋" w:cs="Times New Roman"/>
          <w:bCs/>
          <w:color w:val="auto"/>
          <w:sz w:val="28"/>
          <w:szCs w:val="28"/>
        </w:rPr>
      </w:pPr>
      <w:r>
        <w:rPr>
          <w:rFonts w:hint="default" w:ascii="Times New Roman" w:hAnsi="Times New Roman" w:eastAsia="仿宋" w:cs="Times New Roman"/>
          <w:bCs/>
          <w:color w:val="auto"/>
          <w:sz w:val="28"/>
          <w:szCs w:val="28"/>
        </w:rPr>
        <w:t>本项目涉及的风险主要是火灾</w:t>
      </w:r>
      <w:r>
        <w:rPr>
          <w:rFonts w:hint="eastAsia" w:ascii="Times New Roman" w:hAnsi="Times New Roman" w:eastAsia="仿宋" w:cs="Times New Roman"/>
          <w:bCs/>
          <w:color w:val="auto"/>
          <w:sz w:val="28"/>
          <w:szCs w:val="28"/>
          <w:lang w:eastAsia="zh-CN"/>
        </w:rPr>
        <w:t>、</w:t>
      </w:r>
      <w:r>
        <w:rPr>
          <w:rFonts w:hint="eastAsia" w:ascii="Times New Roman" w:hAnsi="Times New Roman" w:eastAsia="仿宋" w:cs="Times New Roman"/>
          <w:bCs/>
          <w:color w:val="auto"/>
          <w:sz w:val="28"/>
          <w:szCs w:val="28"/>
          <w:lang w:val="en-US" w:eastAsia="zh-CN"/>
        </w:rPr>
        <w:t>爆炸</w:t>
      </w:r>
      <w:r>
        <w:rPr>
          <w:rFonts w:hint="default" w:ascii="Times New Roman" w:hAnsi="Times New Roman" w:eastAsia="仿宋" w:cs="Times New Roman"/>
          <w:bCs/>
          <w:color w:val="auto"/>
          <w:sz w:val="28"/>
          <w:szCs w:val="28"/>
        </w:rPr>
        <w:t>事故、泄漏事故其采取的风险防控如下：</w:t>
      </w:r>
    </w:p>
    <w:p>
      <w:pPr>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（1）公司厂区一旦发生火灾事故，在及时实施灭火的同时，应根据烟气方向疏散厂区及临近企业员工至上方向，防止火灾次生污染危害。</w:t>
      </w:r>
    </w:p>
    <w:p>
      <w:pPr>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w:t>
      </w:r>
      <w:r>
        <w:rPr>
          <w:rFonts w:hint="eastAsia" w:ascii="Times New Roman" w:hAnsi="Times New Roman" w:eastAsia="仿宋" w:cs="Times New Roman"/>
          <w:color w:val="auto"/>
          <w:sz w:val="28"/>
          <w:szCs w:val="28"/>
          <w:highlight w:val="none"/>
          <w:lang w:val="en-US" w:eastAsia="zh-CN"/>
        </w:rPr>
        <w:t>2</w:t>
      </w:r>
      <w:r>
        <w:rPr>
          <w:rFonts w:hint="default" w:ascii="Times New Roman" w:hAnsi="Times New Roman" w:eastAsia="仿宋" w:cs="Times New Roman"/>
          <w:color w:val="auto"/>
          <w:sz w:val="28"/>
          <w:szCs w:val="28"/>
          <w:highlight w:val="none"/>
        </w:rPr>
        <w:t>）危险物质储存、使用场所严禁吸烟，严禁携带火种进入危险区域。</w:t>
      </w:r>
    </w:p>
    <w:p>
      <w:pPr>
        <w:keepNext w:val="0"/>
        <w:keepLines w:val="0"/>
        <w:pageBreakBefore w:val="0"/>
        <w:widowControl/>
        <w:suppressLineNumbers w:val="0"/>
        <w:kinsoku/>
        <w:wordWrap/>
        <w:overflowPunct/>
        <w:topLinePunct w:val="0"/>
        <w:autoSpaceDE/>
        <w:autoSpaceDN/>
        <w:bidi w:val="0"/>
        <w:adjustRightInd/>
        <w:snapToGrid/>
        <w:ind w:firstLine="560" w:firstLineChars="200"/>
        <w:jc w:val="left"/>
        <w:textAlignment w:val="auto"/>
        <w:rPr>
          <w:rFonts w:hint="default" w:ascii="Times New Roman" w:hAnsi="Times New Roman" w:eastAsia="仿宋" w:cs="Times New Roman"/>
          <w:color w:val="auto"/>
          <w:kern w:val="2"/>
          <w:sz w:val="28"/>
          <w:szCs w:val="28"/>
          <w:highlight w:val="none"/>
          <w:lang w:val="en-US" w:eastAsia="zh-CN" w:bidi="ar-SA"/>
        </w:rPr>
      </w:pPr>
      <w:r>
        <w:rPr>
          <w:rFonts w:hint="default" w:ascii="Times New Roman" w:hAnsi="Times New Roman" w:eastAsia="仿宋" w:cs="Times New Roman"/>
          <w:color w:val="auto"/>
          <w:sz w:val="28"/>
          <w:szCs w:val="28"/>
          <w:highlight w:val="none"/>
        </w:rPr>
        <w:t>（</w:t>
      </w:r>
      <w:r>
        <w:rPr>
          <w:rFonts w:hint="eastAsia" w:ascii="Times New Roman" w:hAnsi="Times New Roman" w:eastAsia="仿宋" w:cs="Times New Roman"/>
          <w:color w:val="auto"/>
          <w:sz w:val="28"/>
          <w:szCs w:val="28"/>
          <w:highlight w:val="none"/>
          <w:lang w:val="en-US" w:eastAsia="zh-CN"/>
        </w:rPr>
        <w:t>3</w:t>
      </w:r>
      <w:r>
        <w:rPr>
          <w:rFonts w:hint="default" w:ascii="Times New Roman" w:hAnsi="Times New Roman" w:eastAsia="仿宋" w:cs="Times New Roman"/>
          <w:color w:val="auto"/>
          <w:sz w:val="28"/>
          <w:szCs w:val="28"/>
          <w:highlight w:val="none"/>
        </w:rPr>
        <w:t>）制定危险物质安全管理规定，加强危险物质的贮存、使用及运输管理，完善通风、防泄漏、防静电等安全设施；按照标准、规范配齐消防设施和急救器材，消防设施和急救器材应实行“三定”定理，落实责任人。</w:t>
      </w:r>
    </w:p>
    <w:p>
      <w:pPr>
        <w:keepNext w:val="0"/>
        <w:keepLines w:val="0"/>
        <w:pageBreakBefore w:val="0"/>
        <w:widowControl/>
        <w:suppressLineNumbers w:val="0"/>
        <w:kinsoku/>
        <w:wordWrap/>
        <w:overflowPunct/>
        <w:topLinePunct w:val="0"/>
        <w:autoSpaceDE/>
        <w:autoSpaceDN/>
        <w:bidi w:val="0"/>
        <w:adjustRightInd/>
        <w:snapToGrid/>
        <w:ind w:firstLine="560" w:firstLineChars="200"/>
        <w:jc w:val="left"/>
        <w:textAlignment w:val="auto"/>
        <w:rPr>
          <w:rFonts w:hint="default" w:ascii="Times New Roman" w:hAnsi="Times New Roman" w:eastAsia="仿宋" w:cs="Times New Roman"/>
          <w:color w:val="auto"/>
          <w:kern w:val="0"/>
          <w:sz w:val="28"/>
          <w:szCs w:val="28"/>
          <w:lang w:val="en-US" w:eastAsia="zh-CN" w:bidi="ar"/>
        </w:rPr>
      </w:pPr>
      <w:r>
        <w:rPr>
          <w:rFonts w:hint="default" w:ascii="Times New Roman" w:hAnsi="Times New Roman" w:eastAsia="宋体" w:cs="Times New Roman"/>
          <w:color w:val="auto"/>
          <w:kern w:val="0"/>
          <w:sz w:val="28"/>
          <w:szCs w:val="28"/>
          <w:lang w:val="en-US" w:eastAsia="zh-CN" w:bidi="ar"/>
        </w:rPr>
        <w:t>（</w:t>
      </w:r>
      <w:r>
        <w:rPr>
          <w:rFonts w:hint="eastAsia" w:ascii="Times New Roman" w:hAnsi="Times New Roman" w:cs="Times New Roman"/>
          <w:color w:val="auto"/>
          <w:kern w:val="0"/>
          <w:sz w:val="28"/>
          <w:szCs w:val="28"/>
          <w:lang w:val="en-US" w:eastAsia="zh-CN" w:bidi="ar"/>
        </w:rPr>
        <w:t>4</w:t>
      </w:r>
      <w:r>
        <w:rPr>
          <w:rFonts w:hint="default" w:ascii="Times New Roman" w:hAnsi="Times New Roman" w:eastAsia="宋体" w:cs="Times New Roman"/>
          <w:color w:val="auto"/>
          <w:kern w:val="0"/>
          <w:sz w:val="28"/>
          <w:szCs w:val="28"/>
          <w:lang w:val="en-US" w:eastAsia="zh-CN" w:bidi="ar"/>
        </w:rPr>
        <w:t>）</w:t>
      </w:r>
      <w:r>
        <w:rPr>
          <w:rFonts w:hint="default" w:ascii="Times New Roman" w:hAnsi="Times New Roman" w:eastAsia="仿宋" w:cs="Times New Roman"/>
          <w:color w:val="auto"/>
          <w:kern w:val="0"/>
          <w:sz w:val="28"/>
          <w:szCs w:val="28"/>
          <w:lang w:val="en-US" w:eastAsia="zh-CN" w:bidi="ar"/>
        </w:rPr>
        <w:t>公司原料区和危废暂存间有安全警示牌，储存点地面做防渗防腐蚀处理，危险物质泄漏仅局限于库房场地内。危废暂存间采用重点防渗，地面为混凝土地面防渗处理，并刷有环氧防渗漆，防渗满足环保相关要求。</w:t>
      </w:r>
    </w:p>
    <w:p>
      <w:pPr>
        <w:keepNext w:val="0"/>
        <w:keepLines w:val="0"/>
        <w:pageBreakBefore w:val="0"/>
        <w:widowControl/>
        <w:suppressLineNumbers w:val="0"/>
        <w:kinsoku/>
        <w:wordWrap/>
        <w:overflowPunct/>
        <w:topLinePunct w:val="0"/>
        <w:autoSpaceDE/>
        <w:autoSpaceDN/>
        <w:bidi w:val="0"/>
        <w:adjustRightInd/>
        <w:snapToGrid/>
        <w:ind w:firstLine="560" w:firstLineChars="200"/>
        <w:jc w:val="left"/>
        <w:textAlignment w:val="auto"/>
        <w:rPr>
          <w:rFonts w:hint="default" w:ascii="Times New Roman" w:hAnsi="Times New Roman" w:eastAsia="仿宋" w:cs="Times New Roman"/>
          <w:color w:val="auto"/>
          <w:kern w:val="0"/>
          <w:sz w:val="28"/>
          <w:szCs w:val="28"/>
          <w:lang w:val="en-US" w:eastAsia="zh-CN" w:bidi="ar"/>
        </w:rPr>
      </w:pPr>
      <w:r>
        <w:rPr>
          <w:rFonts w:hint="default" w:ascii="Times New Roman" w:hAnsi="Times New Roman" w:eastAsia="宋体" w:cs="Times New Roman"/>
          <w:color w:val="auto"/>
          <w:kern w:val="0"/>
          <w:sz w:val="28"/>
          <w:szCs w:val="28"/>
          <w:lang w:val="en-US" w:eastAsia="zh-CN" w:bidi="ar"/>
        </w:rPr>
        <w:t>（</w:t>
      </w:r>
      <w:r>
        <w:rPr>
          <w:rFonts w:hint="eastAsia" w:ascii="Times New Roman" w:hAnsi="Times New Roman" w:eastAsia="宋体" w:cs="Times New Roman"/>
          <w:color w:val="auto"/>
          <w:kern w:val="0"/>
          <w:sz w:val="28"/>
          <w:szCs w:val="28"/>
          <w:lang w:val="en-US" w:eastAsia="zh-CN" w:bidi="ar"/>
        </w:rPr>
        <w:t>5</w:t>
      </w:r>
      <w:r>
        <w:rPr>
          <w:rFonts w:hint="default" w:ascii="Times New Roman" w:hAnsi="Times New Roman" w:eastAsia="宋体" w:cs="Times New Roman"/>
          <w:color w:val="auto"/>
          <w:kern w:val="0"/>
          <w:sz w:val="28"/>
          <w:szCs w:val="28"/>
          <w:lang w:val="en-US" w:eastAsia="zh-CN" w:bidi="ar"/>
        </w:rPr>
        <w:t>）</w:t>
      </w:r>
      <w:r>
        <w:rPr>
          <w:rFonts w:hint="default" w:ascii="Times New Roman" w:hAnsi="Times New Roman" w:eastAsia="仿宋" w:cs="Times New Roman"/>
          <w:color w:val="auto"/>
          <w:kern w:val="0"/>
          <w:sz w:val="28"/>
          <w:szCs w:val="28"/>
          <w:lang w:val="en-US" w:eastAsia="zh-CN" w:bidi="ar"/>
        </w:rPr>
        <w:t>废机油、废润滑油及废乳化液如发生泄漏，其包装桶均置于</w:t>
      </w:r>
      <w:r>
        <w:rPr>
          <w:rFonts w:hint="eastAsia" w:ascii="Times New Roman" w:hAnsi="Times New Roman" w:eastAsia="仿宋" w:cs="Times New Roman"/>
          <w:color w:val="auto"/>
          <w:kern w:val="0"/>
          <w:sz w:val="28"/>
          <w:szCs w:val="28"/>
          <w:highlight w:val="none"/>
          <w:lang w:val="en-US" w:eastAsia="zh-CN" w:bidi="ar"/>
        </w:rPr>
        <w:t>围堰</w:t>
      </w:r>
      <w:r>
        <w:rPr>
          <w:rFonts w:hint="default" w:ascii="Times New Roman" w:hAnsi="Times New Roman" w:eastAsia="仿宋" w:cs="Times New Roman"/>
          <w:color w:val="auto"/>
          <w:kern w:val="0"/>
          <w:sz w:val="28"/>
          <w:szCs w:val="28"/>
          <w:highlight w:val="none"/>
          <w:lang w:val="en-US" w:eastAsia="zh-CN" w:bidi="ar"/>
        </w:rPr>
        <w:t>上，泄漏时用</w:t>
      </w:r>
      <w:r>
        <w:rPr>
          <w:rFonts w:hint="eastAsia" w:ascii="Times New Roman" w:hAnsi="Times New Roman" w:eastAsia="仿宋" w:cs="Times New Roman"/>
          <w:color w:val="auto"/>
          <w:kern w:val="0"/>
          <w:sz w:val="28"/>
          <w:szCs w:val="28"/>
          <w:highlight w:val="none"/>
          <w:lang w:val="en-US" w:eastAsia="zh-CN" w:bidi="ar"/>
        </w:rPr>
        <w:t>围堰</w:t>
      </w:r>
      <w:r>
        <w:rPr>
          <w:rFonts w:hint="default" w:ascii="Times New Roman" w:hAnsi="Times New Roman" w:eastAsia="仿宋" w:cs="Times New Roman"/>
          <w:color w:val="auto"/>
          <w:kern w:val="0"/>
          <w:sz w:val="28"/>
          <w:szCs w:val="28"/>
          <w:highlight w:val="none"/>
          <w:lang w:val="en-US" w:eastAsia="zh-CN" w:bidi="ar"/>
        </w:rPr>
        <w:t>收集，并迅速对泄漏点进行堵漏或转移，采用细沙截流，防止流出</w:t>
      </w:r>
      <w:r>
        <w:rPr>
          <w:rFonts w:hint="eastAsia" w:ascii="Times New Roman" w:hAnsi="Times New Roman" w:eastAsia="仿宋" w:cs="Times New Roman"/>
          <w:color w:val="auto"/>
          <w:kern w:val="0"/>
          <w:sz w:val="28"/>
          <w:szCs w:val="28"/>
          <w:highlight w:val="none"/>
          <w:lang w:val="en-US" w:eastAsia="zh-CN" w:bidi="ar"/>
        </w:rPr>
        <w:t>围堰</w:t>
      </w:r>
      <w:r>
        <w:rPr>
          <w:rFonts w:hint="default" w:ascii="Times New Roman" w:hAnsi="Times New Roman" w:eastAsia="仿宋" w:cs="Times New Roman"/>
          <w:color w:val="auto"/>
          <w:kern w:val="0"/>
          <w:sz w:val="28"/>
          <w:szCs w:val="28"/>
          <w:highlight w:val="none"/>
          <w:lang w:val="en-US" w:eastAsia="zh-CN" w:bidi="ar"/>
        </w:rPr>
        <w:t>进</w:t>
      </w:r>
      <w:r>
        <w:rPr>
          <w:rFonts w:hint="default" w:ascii="Times New Roman" w:hAnsi="Times New Roman" w:eastAsia="仿宋" w:cs="Times New Roman"/>
          <w:color w:val="auto"/>
          <w:kern w:val="0"/>
          <w:sz w:val="28"/>
          <w:szCs w:val="28"/>
          <w:lang w:val="en-US" w:eastAsia="zh-CN" w:bidi="ar"/>
        </w:rPr>
        <w:t>一步污染水体或土壤。</w:t>
      </w:r>
    </w:p>
    <w:p>
      <w:pPr>
        <w:keepNext w:val="0"/>
        <w:keepLines w:val="0"/>
        <w:pageBreakBefore w:val="0"/>
        <w:widowControl/>
        <w:suppressLineNumbers w:val="0"/>
        <w:kinsoku/>
        <w:wordWrap/>
        <w:overflowPunct/>
        <w:topLinePunct w:val="0"/>
        <w:autoSpaceDE/>
        <w:autoSpaceDN/>
        <w:bidi w:val="0"/>
        <w:adjustRightInd/>
        <w:snapToGrid/>
        <w:ind w:firstLine="560" w:firstLineChars="200"/>
        <w:jc w:val="left"/>
        <w:textAlignment w:val="auto"/>
        <w:rPr>
          <w:rFonts w:hint="default" w:ascii="Times New Roman" w:hAnsi="Times New Roman" w:eastAsia="仿宋" w:cs="Times New Roman"/>
          <w:color w:val="auto"/>
          <w:kern w:val="0"/>
          <w:sz w:val="28"/>
          <w:szCs w:val="28"/>
          <w:lang w:val="en-US" w:eastAsia="zh-CN" w:bidi="ar"/>
        </w:rPr>
      </w:pPr>
      <w:r>
        <w:rPr>
          <w:rFonts w:hint="default" w:ascii="Times New Roman" w:hAnsi="Times New Roman" w:eastAsia="宋体" w:cs="Times New Roman"/>
          <w:color w:val="auto"/>
          <w:kern w:val="0"/>
          <w:sz w:val="28"/>
          <w:szCs w:val="28"/>
          <w:lang w:val="en-US" w:eastAsia="zh-CN" w:bidi="ar"/>
        </w:rPr>
        <w:t>（</w:t>
      </w:r>
      <w:r>
        <w:rPr>
          <w:rFonts w:hint="eastAsia" w:ascii="Times New Roman" w:hAnsi="Times New Roman" w:eastAsia="宋体" w:cs="Times New Roman"/>
          <w:color w:val="auto"/>
          <w:kern w:val="0"/>
          <w:sz w:val="28"/>
          <w:szCs w:val="28"/>
          <w:lang w:val="en-US" w:eastAsia="zh-CN" w:bidi="ar"/>
        </w:rPr>
        <w:t>6</w:t>
      </w:r>
      <w:r>
        <w:rPr>
          <w:rFonts w:hint="default" w:ascii="Times New Roman" w:hAnsi="Times New Roman" w:eastAsia="宋体" w:cs="Times New Roman"/>
          <w:color w:val="auto"/>
          <w:kern w:val="0"/>
          <w:sz w:val="28"/>
          <w:szCs w:val="28"/>
          <w:lang w:val="en-US" w:eastAsia="zh-CN" w:bidi="ar"/>
        </w:rPr>
        <w:t>）</w:t>
      </w:r>
      <w:r>
        <w:rPr>
          <w:rFonts w:hint="default" w:ascii="Times New Roman" w:hAnsi="Times New Roman" w:eastAsia="仿宋" w:cs="Times New Roman"/>
          <w:color w:val="auto"/>
          <w:kern w:val="0"/>
          <w:sz w:val="28"/>
          <w:szCs w:val="28"/>
          <w:lang w:val="en-US" w:eastAsia="zh-CN" w:bidi="ar"/>
        </w:rPr>
        <w:t>公司厂区建立完善的危废管理制度，有专人负责进行管理，对危废储存种类、数量进行台账管理。</w:t>
      </w:r>
      <w:r>
        <w:rPr>
          <w:rFonts w:hint="default" w:ascii="Times New Roman" w:hAnsi="Times New Roman" w:eastAsia="仿宋" w:cs="Times New Roman"/>
          <w:color w:val="auto"/>
          <w:sz w:val="28"/>
          <w:szCs w:val="28"/>
          <w:highlight w:val="none"/>
        </w:rPr>
        <w:t>桶下均设置防渗托盘接漏，</w:t>
      </w:r>
      <w:r>
        <w:rPr>
          <w:rFonts w:hint="default" w:ascii="Times New Roman" w:hAnsi="Times New Roman" w:eastAsia="仿宋" w:cs="Times New Roman"/>
          <w:color w:val="auto"/>
          <w:kern w:val="0"/>
          <w:sz w:val="28"/>
          <w:szCs w:val="28"/>
          <w:lang w:val="en-US" w:eastAsia="zh-CN" w:bidi="ar"/>
        </w:rPr>
        <w:t>暂存在危废暂存间内，不得倒入厂内、外空地、草地中、下水道。废弃或暂时不用的空油桶应在危废暂存间存放，避免油污污染地面及雨水冲刷后污染地下水。</w:t>
      </w:r>
    </w:p>
    <w:p>
      <w:pPr>
        <w:keepNext w:val="0"/>
        <w:keepLines w:val="0"/>
        <w:pageBreakBefore w:val="0"/>
        <w:widowControl/>
        <w:suppressLineNumbers w:val="0"/>
        <w:kinsoku/>
        <w:wordWrap/>
        <w:overflowPunct/>
        <w:topLinePunct w:val="0"/>
        <w:autoSpaceDE/>
        <w:autoSpaceDN/>
        <w:bidi w:val="0"/>
        <w:adjustRightInd/>
        <w:snapToGrid/>
        <w:ind w:firstLine="560" w:firstLineChars="200"/>
        <w:jc w:val="left"/>
        <w:textAlignment w:val="auto"/>
        <w:rPr>
          <w:rFonts w:hint="eastAsia" w:eastAsia="黑体"/>
          <w:color w:val="auto"/>
          <w:lang w:eastAsia="zh-CN"/>
        </w:rPr>
      </w:pPr>
      <w:r>
        <w:rPr>
          <w:rFonts w:ascii="Times New Roman" w:hAnsi="Times New Roman" w:eastAsia="宋体" w:cs="Times New Roman"/>
          <w:b w:val="0"/>
          <w:color w:val="auto"/>
          <w:kern w:val="0"/>
          <w:sz w:val="28"/>
          <w:szCs w:val="28"/>
          <w:lang w:val="en-US" w:eastAsia="zh-CN" w:bidi="ar-SA"/>
        </w:rPr>
        <w:t>（</w:t>
      </w:r>
      <w:r>
        <w:rPr>
          <w:rFonts w:hint="eastAsia" w:ascii="Times New Roman" w:hAnsi="Times New Roman" w:eastAsia="宋体" w:cs="Times New Roman"/>
          <w:b w:val="0"/>
          <w:color w:val="auto"/>
          <w:kern w:val="0"/>
          <w:sz w:val="28"/>
          <w:szCs w:val="28"/>
          <w:lang w:val="en-US" w:eastAsia="zh-CN" w:bidi="ar-SA"/>
        </w:rPr>
        <w:t>7</w:t>
      </w:r>
      <w:r>
        <w:rPr>
          <w:rFonts w:ascii="Times New Roman" w:hAnsi="Times New Roman" w:eastAsia="宋体" w:cs="Times New Roman"/>
          <w:b w:val="0"/>
          <w:color w:val="auto"/>
          <w:kern w:val="0"/>
          <w:sz w:val="28"/>
          <w:szCs w:val="28"/>
          <w:lang w:val="en-US" w:eastAsia="zh-CN" w:bidi="ar-SA"/>
        </w:rPr>
        <w:t>）</w:t>
      </w:r>
      <w:r>
        <w:rPr>
          <w:rFonts w:ascii="Times New Roman" w:hAnsi="Times New Roman" w:eastAsia="仿宋" w:cs="Times New Roman"/>
          <w:b w:val="0"/>
          <w:color w:val="auto"/>
          <w:kern w:val="0"/>
          <w:sz w:val="28"/>
          <w:szCs w:val="28"/>
          <w:lang w:val="en-US" w:eastAsia="zh-CN" w:bidi="ar-SA"/>
        </w:rPr>
        <w:t>建立一套完善的安全管理制度，执行工业安全卫生、劳动保护、环保、消防等相关规定。</w:t>
      </w:r>
    </w:p>
    <w:p>
      <w:pPr>
        <w:pStyle w:val="4"/>
        <w:pageBreakBefore w:val="0"/>
        <w:widowControl w:val="0"/>
        <w:tabs>
          <w:tab w:val="left" w:pos="567"/>
        </w:tabs>
        <w:kinsoku/>
        <w:wordWrap/>
        <w:overflowPunct/>
        <w:topLinePunct w:val="0"/>
        <w:autoSpaceDE/>
        <w:autoSpaceDN/>
        <w:bidi w:val="0"/>
        <w:adjustRightInd w:val="0"/>
        <w:snapToGrid w:val="0"/>
        <w:spacing w:beforeAutospacing="0" w:afterAutospacing="0" w:line="360" w:lineRule="auto"/>
        <w:ind w:left="0" w:leftChars="0" w:firstLine="562" w:firstLineChars="200"/>
        <w:textAlignment w:val="auto"/>
        <w:outlineLvl w:val="1"/>
        <w:rPr>
          <w:rFonts w:hint="default" w:ascii="Times New Roman" w:hAnsi="Times New Roman" w:eastAsia="仿宋" w:cs="Times New Roman"/>
          <w:color w:val="auto"/>
          <w:sz w:val="28"/>
          <w:szCs w:val="28"/>
        </w:rPr>
      </w:pPr>
      <w:bookmarkStart w:id="382" w:name="_Toc600"/>
      <w:bookmarkStart w:id="383" w:name="_Toc27889"/>
      <w:bookmarkStart w:id="384" w:name="_Toc7364_WPSOffice_Level2"/>
      <w:bookmarkStart w:id="385" w:name="_Toc17732482"/>
      <w:bookmarkStart w:id="386" w:name="_Toc21023_WPSOffice_Level2"/>
      <w:bookmarkStart w:id="387" w:name="_Toc12781"/>
      <w:bookmarkStart w:id="388" w:name="_Toc11714"/>
      <w:r>
        <w:rPr>
          <w:rFonts w:hint="default" w:ascii="Times New Roman" w:hAnsi="Times New Roman" w:eastAsia="仿宋" w:cs="Times New Roman"/>
          <w:color w:val="auto"/>
          <w:sz w:val="28"/>
          <w:szCs w:val="28"/>
        </w:rPr>
        <w:t>4.2.</w:t>
      </w:r>
      <w:r>
        <w:rPr>
          <w:rFonts w:hint="eastAsia" w:eastAsia="仿宋" w:cs="Times New Roman"/>
          <w:color w:val="auto"/>
          <w:sz w:val="28"/>
          <w:szCs w:val="28"/>
          <w:lang w:val="en-US" w:eastAsia="zh-CN"/>
        </w:rPr>
        <w:t>2</w:t>
      </w:r>
      <w:r>
        <w:rPr>
          <w:rFonts w:hint="default" w:ascii="Times New Roman" w:hAnsi="Times New Roman" w:eastAsia="仿宋" w:cs="Times New Roman"/>
          <w:color w:val="auto"/>
          <w:sz w:val="28"/>
          <w:szCs w:val="28"/>
        </w:rPr>
        <w:t>应急措施</w:t>
      </w:r>
      <w:bookmarkEnd w:id="382"/>
      <w:bookmarkEnd w:id="383"/>
      <w:bookmarkEnd w:id="384"/>
      <w:bookmarkEnd w:id="385"/>
      <w:bookmarkEnd w:id="386"/>
      <w:bookmarkEnd w:id="387"/>
      <w:bookmarkEnd w:id="388"/>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bCs/>
          <w:color w:val="auto"/>
          <w:sz w:val="28"/>
          <w:szCs w:val="28"/>
          <w:highlight w:val="none"/>
          <w:lang w:val="en-US" w:eastAsia="zh-CN"/>
        </w:rPr>
      </w:pPr>
      <w:r>
        <w:rPr>
          <w:rFonts w:hint="default" w:ascii="Times New Roman" w:hAnsi="Times New Roman" w:eastAsia="仿宋" w:cs="Times New Roman"/>
          <w:bCs/>
          <w:color w:val="auto"/>
          <w:sz w:val="28"/>
          <w:szCs w:val="28"/>
          <w:highlight w:val="none"/>
          <w:lang w:eastAsia="zh-CN"/>
        </w:rPr>
        <w:t>（</w:t>
      </w:r>
      <w:r>
        <w:rPr>
          <w:rFonts w:hint="default" w:ascii="Times New Roman" w:hAnsi="Times New Roman" w:eastAsia="仿宋" w:cs="Times New Roman"/>
          <w:bCs/>
          <w:color w:val="auto"/>
          <w:sz w:val="28"/>
          <w:szCs w:val="28"/>
          <w:highlight w:val="none"/>
          <w:lang w:val="en-US" w:eastAsia="zh-CN"/>
        </w:rPr>
        <w:t>1</w:t>
      </w:r>
      <w:r>
        <w:rPr>
          <w:rFonts w:hint="default" w:ascii="Times New Roman" w:hAnsi="Times New Roman" w:eastAsia="仿宋" w:cs="Times New Roman"/>
          <w:bCs/>
          <w:color w:val="auto"/>
          <w:sz w:val="28"/>
          <w:szCs w:val="28"/>
          <w:highlight w:val="none"/>
          <w:lang w:eastAsia="zh-CN"/>
        </w:rPr>
        <w:t>）</w:t>
      </w:r>
      <w:r>
        <w:rPr>
          <w:rFonts w:hint="default" w:ascii="Times New Roman" w:hAnsi="Times New Roman" w:eastAsia="仿宋" w:cs="Times New Roman"/>
          <w:bCs/>
          <w:color w:val="auto"/>
          <w:sz w:val="28"/>
          <w:szCs w:val="28"/>
          <w:highlight w:val="none"/>
          <w:lang w:val="en-US" w:eastAsia="zh-CN"/>
        </w:rPr>
        <w:t>火灾</w:t>
      </w:r>
      <w:r>
        <w:rPr>
          <w:rFonts w:hint="eastAsia" w:ascii="Times New Roman" w:hAnsi="Times New Roman" w:eastAsia="仿宋" w:cs="Times New Roman"/>
          <w:bCs/>
          <w:color w:val="auto"/>
          <w:sz w:val="28"/>
          <w:szCs w:val="28"/>
          <w:highlight w:val="none"/>
          <w:lang w:val="en-US" w:eastAsia="zh-CN"/>
        </w:rPr>
        <w:t>、爆炸</w:t>
      </w:r>
      <w:r>
        <w:rPr>
          <w:rFonts w:hint="default" w:ascii="Times New Roman" w:hAnsi="Times New Roman" w:eastAsia="仿宋" w:cs="Times New Roman"/>
          <w:bCs/>
          <w:color w:val="auto"/>
          <w:sz w:val="28"/>
          <w:szCs w:val="28"/>
          <w:highlight w:val="none"/>
          <w:lang w:val="en-US" w:eastAsia="zh-CN"/>
        </w:rPr>
        <w:t>事故</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eastAsia" w:ascii="Times New Roman" w:hAnsi="Times New Roman" w:eastAsia="仿宋" w:cs="Times New Roman"/>
          <w:bCs/>
          <w:color w:val="auto"/>
          <w:sz w:val="28"/>
          <w:szCs w:val="28"/>
          <w:lang w:val="en-US" w:eastAsia="zh-CN"/>
        </w:rPr>
      </w:pPr>
      <w:r>
        <w:rPr>
          <w:rFonts w:hint="default" w:ascii="Times New Roman" w:hAnsi="Times New Roman" w:eastAsia="仿宋" w:cs="Times New Roman"/>
          <w:bCs/>
          <w:color w:val="auto"/>
          <w:sz w:val="28"/>
          <w:szCs w:val="28"/>
        </w:rPr>
        <w:t>项目重点区域配置火灾应急物资和设备，</w:t>
      </w:r>
      <w:r>
        <w:rPr>
          <w:rFonts w:hint="eastAsia" w:ascii="Times New Roman" w:hAnsi="Times New Roman" w:eastAsia="仿宋" w:cs="Times New Roman"/>
          <w:bCs/>
          <w:color w:val="auto"/>
          <w:sz w:val="28"/>
          <w:szCs w:val="28"/>
          <w:lang w:val="en-US" w:eastAsia="zh-CN"/>
        </w:rPr>
        <w:t>厂</w:t>
      </w:r>
      <w:r>
        <w:rPr>
          <w:rFonts w:hint="default" w:ascii="Times New Roman" w:hAnsi="Times New Roman" w:eastAsia="仿宋" w:cs="Times New Roman"/>
          <w:bCs/>
          <w:color w:val="auto"/>
          <w:sz w:val="28"/>
          <w:szCs w:val="28"/>
          <w:lang w:val="en-US" w:eastAsia="zh-CN"/>
        </w:rPr>
        <w:t>区内禁止明火</w:t>
      </w:r>
      <w:r>
        <w:rPr>
          <w:rFonts w:hint="eastAsia" w:ascii="Times New Roman" w:hAnsi="Times New Roman" w:eastAsia="仿宋" w:cs="Times New Roman"/>
          <w:bCs/>
          <w:color w:val="auto"/>
          <w:sz w:val="28"/>
          <w:szCs w:val="28"/>
          <w:lang w:val="en-US" w:eastAsia="zh-CN"/>
        </w:rPr>
        <w:t>。</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bCs/>
          <w:color w:val="auto"/>
          <w:sz w:val="28"/>
          <w:szCs w:val="28"/>
          <w:highlight w:val="none"/>
          <w:lang w:val="en-US" w:eastAsia="zh-CN"/>
        </w:rPr>
      </w:pPr>
      <w:r>
        <w:rPr>
          <w:rFonts w:hint="default" w:ascii="Times New Roman" w:hAnsi="Times New Roman" w:eastAsia="仿宋" w:cs="Times New Roman"/>
          <w:bCs/>
          <w:color w:val="auto"/>
          <w:sz w:val="28"/>
          <w:szCs w:val="28"/>
          <w:highlight w:val="none"/>
          <w:lang w:val="en-US" w:eastAsia="zh-CN"/>
        </w:rPr>
        <w:t>（2）泄漏事故</w:t>
      </w:r>
    </w:p>
    <w:p>
      <w:pPr>
        <w:keepNext w:val="0"/>
        <w:keepLines w:val="0"/>
        <w:pageBreakBefore w:val="0"/>
        <w:widowControl w:val="0"/>
        <w:numPr>
          <w:ilvl w:val="0"/>
          <w:numId w:val="0"/>
        </w:numPr>
        <w:kinsoku/>
        <w:wordWrap/>
        <w:overflowPunct/>
        <w:topLinePunct w:val="0"/>
        <w:autoSpaceDE/>
        <w:autoSpaceDN/>
        <w:bidi w:val="0"/>
        <w:adjustRightInd w:val="0"/>
        <w:snapToGrid w:val="0"/>
        <w:spacing w:beforeAutospacing="0" w:afterAutospacing="0" w:line="360" w:lineRule="auto"/>
        <w:ind w:left="0" w:leftChars="0" w:firstLine="560" w:firstLineChars="200"/>
        <w:jc w:val="both"/>
        <w:textAlignment w:val="auto"/>
        <w:rPr>
          <w:rFonts w:hint="default" w:ascii="Times New Roman" w:hAnsi="Times New Roman" w:eastAsia="仿宋" w:cs="Times New Roman"/>
          <w:color w:val="auto"/>
          <w:lang w:val="en-US" w:eastAsia="zh-CN"/>
        </w:rPr>
      </w:pPr>
      <w:r>
        <w:rPr>
          <w:rFonts w:hint="default" w:ascii="Times New Roman" w:hAnsi="Times New Roman" w:eastAsia="仿宋" w:cs="Times New Roman"/>
          <w:bCs/>
          <w:color w:val="auto"/>
          <w:sz w:val="28"/>
          <w:szCs w:val="28"/>
          <w:lang w:val="en-US" w:eastAsia="zh-CN"/>
        </w:rPr>
        <w:t>安排专人定期巡查</w:t>
      </w:r>
      <w:r>
        <w:rPr>
          <w:rFonts w:hint="eastAsia" w:ascii="Times New Roman" w:hAnsi="Times New Roman" w:eastAsia="仿宋" w:cs="Times New Roman"/>
          <w:bCs/>
          <w:color w:val="auto"/>
          <w:sz w:val="28"/>
          <w:szCs w:val="28"/>
          <w:lang w:val="en-US" w:eastAsia="zh-CN"/>
        </w:rPr>
        <w:t>危废暂存间</w:t>
      </w:r>
      <w:r>
        <w:rPr>
          <w:rFonts w:hint="default" w:ascii="Times New Roman" w:hAnsi="Times New Roman" w:eastAsia="仿宋" w:cs="Times New Roman"/>
          <w:bCs/>
          <w:color w:val="auto"/>
          <w:sz w:val="28"/>
          <w:szCs w:val="28"/>
          <w:lang w:val="en-US" w:eastAsia="zh-CN"/>
        </w:rPr>
        <w:t>及</w:t>
      </w:r>
      <w:r>
        <w:rPr>
          <w:rFonts w:hint="eastAsia" w:ascii="Times New Roman" w:hAnsi="Times New Roman" w:eastAsia="仿宋" w:cs="Times New Roman"/>
          <w:bCs/>
          <w:color w:val="auto"/>
          <w:sz w:val="28"/>
          <w:szCs w:val="28"/>
          <w:lang w:val="en-US" w:eastAsia="zh-CN"/>
        </w:rPr>
        <w:t>气瓶存放区</w:t>
      </w:r>
      <w:r>
        <w:rPr>
          <w:rFonts w:hint="default" w:ascii="Times New Roman" w:hAnsi="Times New Roman" w:eastAsia="仿宋" w:cs="Times New Roman"/>
          <w:bCs/>
          <w:color w:val="auto"/>
          <w:sz w:val="28"/>
          <w:szCs w:val="28"/>
          <w:lang w:val="en-US" w:eastAsia="zh-CN"/>
        </w:rPr>
        <w:t>，发现异常及时上报并封堵围堰排水口，防止泄漏至围堰以外地面</w:t>
      </w:r>
      <w:r>
        <w:rPr>
          <w:rFonts w:hint="eastAsia" w:ascii="Times New Roman" w:hAnsi="Times New Roman" w:eastAsia="仿宋" w:cs="Times New Roman"/>
          <w:bCs/>
          <w:color w:val="auto"/>
          <w:sz w:val="28"/>
          <w:szCs w:val="28"/>
          <w:lang w:val="en-US" w:eastAsia="zh-CN"/>
        </w:rPr>
        <w:t>。</w:t>
      </w:r>
    </w:p>
    <w:p>
      <w:pPr>
        <w:pStyle w:val="4"/>
        <w:pageBreakBefore w:val="0"/>
        <w:widowControl w:val="0"/>
        <w:tabs>
          <w:tab w:val="left" w:pos="567"/>
        </w:tabs>
        <w:kinsoku/>
        <w:wordWrap/>
        <w:overflowPunct/>
        <w:topLinePunct w:val="0"/>
        <w:autoSpaceDE/>
        <w:autoSpaceDN/>
        <w:bidi w:val="0"/>
        <w:adjustRightInd w:val="0"/>
        <w:snapToGrid w:val="0"/>
        <w:spacing w:beforeAutospacing="0" w:afterAutospacing="0" w:line="360" w:lineRule="auto"/>
        <w:ind w:left="0" w:leftChars="0" w:firstLine="562" w:firstLineChars="200"/>
        <w:textAlignment w:val="auto"/>
        <w:outlineLvl w:val="1"/>
        <w:rPr>
          <w:rFonts w:hint="default" w:ascii="Times New Roman" w:hAnsi="Times New Roman" w:eastAsia="仿宋" w:cs="Times New Roman"/>
          <w:color w:val="auto"/>
          <w:sz w:val="28"/>
          <w:szCs w:val="28"/>
        </w:rPr>
      </w:pPr>
      <w:bookmarkStart w:id="389" w:name="_Toc22292_WPSOffice_Level2"/>
      <w:bookmarkStart w:id="390" w:name="_Toc16324"/>
      <w:bookmarkStart w:id="391" w:name="_Toc29934"/>
      <w:bookmarkStart w:id="392" w:name="_Toc30915"/>
      <w:bookmarkStart w:id="393" w:name="_Toc19220"/>
      <w:bookmarkStart w:id="394" w:name="_Toc17732483"/>
      <w:bookmarkStart w:id="395" w:name="_Toc3692_WPSOffice_Level2"/>
      <w:r>
        <w:rPr>
          <w:rFonts w:hint="default" w:ascii="Times New Roman" w:hAnsi="Times New Roman" w:eastAsia="仿宋" w:cs="Times New Roman"/>
          <w:color w:val="auto"/>
          <w:sz w:val="28"/>
          <w:szCs w:val="28"/>
        </w:rPr>
        <w:t>4.2.</w:t>
      </w:r>
      <w:r>
        <w:rPr>
          <w:rFonts w:hint="eastAsia" w:eastAsia="仿宋" w:cs="Times New Roman"/>
          <w:color w:val="auto"/>
          <w:sz w:val="28"/>
          <w:szCs w:val="28"/>
          <w:lang w:val="en-US" w:eastAsia="zh-CN"/>
        </w:rPr>
        <w:t>3</w:t>
      </w:r>
      <w:r>
        <w:rPr>
          <w:rFonts w:hint="default" w:ascii="Times New Roman" w:hAnsi="Times New Roman" w:eastAsia="仿宋" w:cs="Times New Roman"/>
          <w:color w:val="auto"/>
          <w:sz w:val="28"/>
          <w:szCs w:val="28"/>
        </w:rPr>
        <w:t>应急监测</w:t>
      </w:r>
      <w:bookmarkEnd w:id="389"/>
      <w:bookmarkEnd w:id="390"/>
      <w:bookmarkEnd w:id="391"/>
      <w:bookmarkEnd w:id="392"/>
      <w:bookmarkEnd w:id="393"/>
      <w:bookmarkEnd w:id="394"/>
      <w:bookmarkEnd w:id="395"/>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事故发生后，公司应急指挥部迅速联系</w:t>
      </w:r>
      <w:r>
        <w:rPr>
          <w:rFonts w:hint="eastAsia" w:ascii="Times New Roman" w:hAnsi="Times New Roman" w:eastAsia="仿宋" w:cs="Times New Roman"/>
          <w:color w:val="auto"/>
          <w:sz w:val="28"/>
          <w:szCs w:val="28"/>
          <w:highlight w:val="none"/>
          <w:lang w:eastAsia="zh-CN"/>
        </w:rPr>
        <w:t>陕西太阳景检测有限责任公司</w:t>
      </w:r>
      <w:r>
        <w:rPr>
          <w:rFonts w:hint="default" w:ascii="Times New Roman" w:hAnsi="Times New Roman" w:eastAsia="仿宋" w:cs="Times New Roman"/>
          <w:color w:val="auto"/>
          <w:sz w:val="28"/>
          <w:szCs w:val="28"/>
        </w:rPr>
        <w:t>，根据事故现场的具体情况确定监测方案</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rPr>
      </w:pPr>
      <w:bookmarkStart w:id="396" w:name="_Toc3996"/>
      <w:bookmarkStart w:id="397" w:name="_Toc22220"/>
      <w:r>
        <w:rPr>
          <w:rFonts w:hint="default" w:ascii="Times New Roman" w:hAnsi="Times New Roman" w:eastAsia="仿宋" w:cs="Times New Roman"/>
          <w:color w:val="auto"/>
          <w:sz w:val="28"/>
          <w:szCs w:val="28"/>
        </w:rPr>
        <w:t>（1）应急监测的布点原则</w:t>
      </w:r>
      <w:bookmarkEnd w:id="396"/>
      <w:bookmarkEnd w:id="397"/>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由于环境污染事故发生时，污染物的分布极不均匀，时空变化大，对各环境要素的污染程度各不相同，因此采样点位的选择对于准确判断污染物的浓度分布、污染范围与程度等极为重要。</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采样断面（点）的设置一般以突发性污染事故发生地点及其附近为主，同时必须注重人群和生活环境，考虑对饮用水源地、居民住宅区空气、农田土壤等区域的影响，合理设置参照点，以掌握污染发生地点状况、反映事故发生区域环境的污染程度和污染范围为目的。</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（3）对被突发性污染事故所污染的大气应设置对照断面（点）、控制断面（点），尽可能以最少的断面（点）获取足够的有代表性的所需信息，同时需考虑采样的可行性和方便性。</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2" w:firstLineChars="200"/>
        <w:textAlignment w:val="auto"/>
        <w:outlineLvl w:val="1"/>
        <w:rPr>
          <w:rFonts w:hint="default" w:ascii="Times New Roman" w:hAnsi="Times New Roman" w:eastAsia="仿宋" w:cs="Times New Roman"/>
          <w:b/>
          <w:bCs/>
          <w:color w:val="auto"/>
          <w:sz w:val="28"/>
          <w:szCs w:val="28"/>
        </w:rPr>
      </w:pPr>
      <w:bookmarkStart w:id="398" w:name="_Toc15180"/>
      <w:bookmarkStart w:id="399" w:name="_Toc17242"/>
      <w:bookmarkStart w:id="400" w:name="_Toc29455"/>
      <w:bookmarkStart w:id="401" w:name="_Toc22672"/>
      <w:bookmarkStart w:id="402" w:name="_Toc5210"/>
      <w:r>
        <w:rPr>
          <w:rFonts w:hint="default" w:ascii="Times New Roman" w:hAnsi="Times New Roman" w:eastAsia="仿宋" w:cs="Times New Roman"/>
          <w:b/>
          <w:bCs/>
          <w:color w:val="auto"/>
          <w:sz w:val="28"/>
          <w:szCs w:val="28"/>
        </w:rPr>
        <w:t>4.2.</w:t>
      </w:r>
      <w:r>
        <w:rPr>
          <w:rFonts w:hint="eastAsia" w:ascii="Times New Roman" w:hAnsi="Times New Roman" w:eastAsia="仿宋" w:cs="Times New Roman"/>
          <w:b/>
          <w:bCs/>
          <w:color w:val="auto"/>
          <w:sz w:val="28"/>
          <w:szCs w:val="28"/>
          <w:lang w:val="en-US" w:eastAsia="zh-CN"/>
        </w:rPr>
        <w:t>4</w:t>
      </w:r>
      <w:r>
        <w:rPr>
          <w:rFonts w:hint="default" w:ascii="Times New Roman" w:hAnsi="Times New Roman" w:eastAsia="仿宋" w:cs="Times New Roman"/>
          <w:b/>
          <w:bCs/>
          <w:color w:val="auto"/>
          <w:sz w:val="28"/>
          <w:szCs w:val="28"/>
        </w:rPr>
        <w:t>采样布点方法</w:t>
      </w:r>
      <w:bookmarkEnd w:id="398"/>
      <w:bookmarkEnd w:id="399"/>
      <w:bookmarkEnd w:id="400"/>
      <w:bookmarkEnd w:id="401"/>
      <w:bookmarkEnd w:id="402"/>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依据《突发环境事件应急监测技术规范》（HJ</w:t>
      </w:r>
      <w:r>
        <w:rPr>
          <w:rFonts w:hint="eastAsia" w:ascii="Times New Roman" w:hAnsi="Times New Roman" w:eastAsia="仿宋" w:cs="Times New Roman"/>
          <w:color w:val="auto"/>
          <w:sz w:val="28"/>
          <w:szCs w:val="28"/>
          <w:lang w:val="en-US" w:eastAsia="zh-CN"/>
        </w:rPr>
        <w:t xml:space="preserve"> </w:t>
      </w:r>
      <w:r>
        <w:rPr>
          <w:rFonts w:hint="default" w:ascii="Times New Roman" w:hAnsi="Times New Roman" w:eastAsia="仿宋" w:cs="Times New Roman"/>
          <w:color w:val="auto"/>
          <w:sz w:val="28"/>
          <w:szCs w:val="28"/>
        </w:rPr>
        <w:t>589-20</w:t>
      </w:r>
      <w:r>
        <w:rPr>
          <w:rFonts w:hint="eastAsia" w:ascii="Times New Roman" w:hAnsi="Times New Roman" w:eastAsia="仿宋" w:cs="Times New Roman"/>
          <w:color w:val="auto"/>
          <w:sz w:val="28"/>
          <w:szCs w:val="28"/>
          <w:lang w:val="en-US" w:eastAsia="zh-CN"/>
        </w:rPr>
        <w:t>21</w:t>
      </w:r>
      <w:r>
        <w:rPr>
          <w:rFonts w:hint="default" w:ascii="Times New Roman" w:hAnsi="Times New Roman" w:eastAsia="仿宋" w:cs="Times New Roman"/>
          <w:color w:val="auto"/>
          <w:sz w:val="28"/>
          <w:szCs w:val="28"/>
        </w:rPr>
        <w:t>）的相关规定对突发环境污染事故现场进行布点监测。</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eastAsia"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rPr>
        <w:t>对于环境空气污染事故</w:t>
      </w:r>
      <w:r>
        <w:rPr>
          <w:rFonts w:hint="eastAsia" w:ascii="Times New Roman" w:hAnsi="Times New Roman" w:eastAsia="仿宋" w:cs="Times New Roman"/>
          <w:color w:val="auto"/>
          <w:sz w:val="28"/>
          <w:szCs w:val="28"/>
          <w:lang w:eastAsia="zh-CN"/>
        </w:rPr>
        <w:t>：</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公司所在地周围有居民，当发生有害气体超标排放时，对下风向居民点产生一定影响。采样时，应同时记录气温、气压、风向和风速，采样总体积应换算为标准状态下的体积。</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rPr>
        <w:t>监测因子：</w:t>
      </w:r>
      <w:r>
        <w:rPr>
          <w:rFonts w:hint="default" w:ascii="Times New Roman" w:hAnsi="Times New Roman" w:eastAsia="仿宋" w:cs="Times New Roman"/>
          <w:color w:val="auto"/>
          <w:sz w:val="28"/>
          <w:szCs w:val="28"/>
          <w:highlight w:val="none"/>
        </w:rPr>
        <w:t>颗粒物、</w:t>
      </w:r>
      <w:r>
        <w:rPr>
          <w:rFonts w:hint="eastAsia" w:ascii="Times New Roman" w:hAnsi="Times New Roman" w:eastAsia="仿宋" w:cs="Times New Roman"/>
          <w:color w:val="auto"/>
          <w:sz w:val="28"/>
          <w:szCs w:val="28"/>
          <w:highlight w:val="none"/>
          <w:lang w:val="en-US" w:eastAsia="zh-CN"/>
        </w:rPr>
        <w:t>二氧化硫</w:t>
      </w:r>
      <w:r>
        <w:rPr>
          <w:rFonts w:hint="default" w:ascii="Times New Roman" w:hAnsi="Times New Roman" w:eastAsia="仿宋" w:cs="Times New Roman"/>
          <w:color w:val="auto"/>
          <w:sz w:val="28"/>
          <w:szCs w:val="28"/>
          <w:highlight w:val="none"/>
        </w:rPr>
        <w:t>、一氧化碳</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监测时间及频率：事故发生后应连续取样，直到恢复正常；取样时间、采样频率、监测分析方法按照规范执行，日均浓度符合《环境空气质量标准》（GB</w:t>
      </w:r>
      <w:r>
        <w:rPr>
          <w:rFonts w:hint="default" w:ascii="Times New Roman" w:hAnsi="Times New Roman" w:eastAsia="仿宋" w:cs="Times New Roman"/>
          <w:color w:val="auto"/>
          <w:sz w:val="28"/>
          <w:szCs w:val="28"/>
          <w:lang w:val="en-US" w:eastAsia="zh-CN"/>
        </w:rPr>
        <w:t xml:space="preserve"> </w:t>
      </w:r>
      <w:r>
        <w:rPr>
          <w:rFonts w:hint="default" w:ascii="Times New Roman" w:hAnsi="Times New Roman" w:eastAsia="仿宋" w:cs="Times New Roman"/>
          <w:color w:val="auto"/>
          <w:sz w:val="28"/>
          <w:szCs w:val="28"/>
        </w:rPr>
        <w:t>3095-2012）及其修改清单中对数据的有效性规定。</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监测布点：根据季节特点，以主导风向为轴向，在上风向敏感点设置一个监测点，在下风向设置一个监测点，同时在事故发生点设置一个监测点。</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2" w:firstLineChars="200"/>
        <w:textAlignment w:val="auto"/>
        <w:outlineLvl w:val="1"/>
        <w:rPr>
          <w:rFonts w:hint="default" w:ascii="Times New Roman" w:hAnsi="Times New Roman" w:eastAsia="仿宋" w:cs="Times New Roman"/>
          <w:b/>
          <w:bCs/>
          <w:color w:val="auto"/>
          <w:sz w:val="28"/>
          <w:szCs w:val="28"/>
        </w:rPr>
      </w:pPr>
      <w:bookmarkStart w:id="403" w:name="_Toc6846"/>
      <w:bookmarkStart w:id="404" w:name="_Toc488"/>
      <w:bookmarkStart w:id="405" w:name="_Toc31776"/>
      <w:bookmarkStart w:id="406" w:name="_Toc7297"/>
      <w:bookmarkStart w:id="407" w:name="_Toc4101"/>
      <w:r>
        <w:rPr>
          <w:rFonts w:hint="default" w:ascii="Times New Roman" w:hAnsi="Times New Roman" w:eastAsia="仿宋" w:cs="Times New Roman"/>
          <w:b/>
          <w:bCs/>
          <w:color w:val="auto"/>
          <w:sz w:val="28"/>
          <w:szCs w:val="28"/>
        </w:rPr>
        <w:t>4.2.</w:t>
      </w:r>
      <w:r>
        <w:rPr>
          <w:rFonts w:hint="eastAsia" w:ascii="Times New Roman" w:hAnsi="Times New Roman" w:eastAsia="仿宋" w:cs="Times New Roman"/>
          <w:b/>
          <w:bCs/>
          <w:color w:val="auto"/>
          <w:sz w:val="28"/>
          <w:szCs w:val="28"/>
          <w:lang w:val="en-US" w:eastAsia="zh-CN"/>
        </w:rPr>
        <w:t>5</w:t>
      </w:r>
      <w:r>
        <w:rPr>
          <w:rFonts w:hint="default" w:ascii="Times New Roman" w:hAnsi="Times New Roman" w:eastAsia="仿宋" w:cs="Times New Roman"/>
          <w:b/>
          <w:bCs/>
          <w:color w:val="auto"/>
          <w:sz w:val="28"/>
          <w:szCs w:val="28"/>
        </w:rPr>
        <w:t>监测管理制度</w:t>
      </w:r>
      <w:bookmarkEnd w:id="403"/>
      <w:bookmarkEnd w:id="404"/>
      <w:bookmarkEnd w:id="405"/>
      <w:bookmarkEnd w:id="406"/>
      <w:bookmarkEnd w:id="407"/>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jc w:val="left"/>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（1）环境污染事件发生时，应急指挥部应及时指挥通讯联络组联系</w:t>
      </w:r>
      <w:r>
        <w:rPr>
          <w:rFonts w:hint="eastAsia" w:ascii="Times New Roman" w:hAnsi="Times New Roman" w:eastAsia="仿宋" w:cs="Times New Roman"/>
          <w:color w:val="auto"/>
          <w:sz w:val="28"/>
          <w:szCs w:val="28"/>
          <w:lang w:eastAsia="zh-CN"/>
        </w:rPr>
        <w:t>陕西太阳景检测有限责任公司</w:t>
      </w:r>
      <w:r>
        <w:rPr>
          <w:rFonts w:hint="default" w:ascii="Times New Roman" w:hAnsi="Times New Roman" w:eastAsia="仿宋" w:cs="Times New Roman"/>
          <w:color w:val="auto"/>
          <w:sz w:val="28"/>
          <w:szCs w:val="28"/>
          <w:lang w:eastAsia="zh-CN"/>
        </w:rPr>
        <w:t>并组织本单位人员配合监测站人员</w:t>
      </w:r>
      <w:r>
        <w:rPr>
          <w:rFonts w:hint="default" w:ascii="Times New Roman" w:hAnsi="Times New Roman" w:eastAsia="仿宋" w:cs="Times New Roman"/>
          <w:color w:val="auto"/>
          <w:sz w:val="28"/>
          <w:szCs w:val="28"/>
        </w:rPr>
        <w:t>对现场环境污染物浓度进行监测。</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jc w:val="left"/>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进入突发环境事件现场的应急监测人员，必须注意自身的安全防护，对事故现场不熟悉、不能确认现场安全或不按规定佩戴必需的防护设备（如防护服、防毒呼吸器等），未经现场指挥/警戒人员许可，不应进入事故现场进行采样监测。</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jc w:val="left"/>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（3）监测人员随时保持通讯设备开机状态，到达各监测点后立即向监测组组长报告监测点的气味、风向、空气受到的影响基本情况，之后每半小时报告监测结果和人员安全状况。</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jc w:val="left"/>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4）应急指挥部根据监测结果，综合分析突发性环境污染事故污染变化趋势，并通过专家咨询和讨论的方式，预测并报告突发性环境污染事故的发展情况和污染物的变化情况，作为突发性环境污染事故应急决策的依据。</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2" w:firstLineChars="200"/>
        <w:textAlignment w:val="auto"/>
        <w:outlineLvl w:val="1"/>
        <w:rPr>
          <w:rFonts w:hint="default" w:ascii="Times New Roman" w:hAnsi="Times New Roman" w:eastAsia="仿宋" w:cs="Times New Roman"/>
          <w:b/>
          <w:bCs/>
          <w:color w:val="auto"/>
          <w:sz w:val="28"/>
          <w:szCs w:val="28"/>
        </w:rPr>
      </w:pPr>
      <w:bookmarkStart w:id="408" w:name="_Toc22893"/>
      <w:bookmarkStart w:id="409" w:name="_Toc15109"/>
      <w:bookmarkStart w:id="410" w:name="_Toc22673"/>
      <w:bookmarkStart w:id="411" w:name="_Toc9160"/>
      <w:bookmarkStart w:id="412" w:name="_Toc30788"/>
      <w:r>
        <w:rPr>
          <w:rFonts w:hint="default" w:ascii="Times New Roman" w:hAnsi="Times New Roman" w:eastAsia="仿宋" w:cs="Times New Roman"/>
          <w:b/>
          <w:bCs/>
          <w:color w:val="auto"/>
          <w:sz w:val="28"/>
          <w:szCs w:val="28"/>
        </w:rPr>
        <w:t>4.2.</w:t>
      </w:r>
      <w:r>
        <w:rPr>
          <w:rFonts w:hint="eastAsia" w:ascii="Times New Roman" w:hAnsi="Times New Roman" w:eastAsia="仿宋" w:cs="Times New Roman"/>
          <w:b/>
          <w:bCs/>
          <w:color w:val="auto"/>
          <w:sz w:val="28"/>
          <w:szCs w:val="28"/>
          <w:lang w:val="en-US" w:eastAsia="zh-CN"/>
        </w:rPr>
        <w:t>6</w:t>
      </w:r>
      <w:r>
        <w:rPr>
          <w:rFonts w:hint="default" w:ascii="Times New Roman" w:hAnsi="Times New Roman" w:eastAsia="仿宋" w:cs="Times New Roman"/>
          <w:b/>
          <w:bCs/>
          <w:color w:val="auto"/>
          <w:sz w:val="28"/>
          <w:szCs w:val="28"/>
        </w:rPr>
        <w:t>监测方法</w:t>
      </w:r>
      <w:bookmarkEnd w:id="408"/>
      <w:bookmarkEnd w:id="409"/>
      <w:bookmarkEnd w:id="410"/>
      <w:bookmarkEnd w:id="411"/>
      <w:bookmarkEnd w:id="412"/>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jc w:val="left"/>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为迅速查明突发环境事件污染物的种类（或名称）、污染程度和范围以及污染发展趋势，在已有调查资料的基础上，充分利用现场快速监测方法和实验室现有的分析方法进行鉴别、确认。</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jc w:val="left"/>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（1）为快速监测突发环境事件的污染物，首先可采用如下的快速监测方法：</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jc w:val="left"/>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 1 \* GB3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①</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color w:val="auto"/>
          <w:sz w:val="28"/>
          <w:szCs w:val="28"/>
        </w:rPr>
        <w:t>检测试纸、快速检测管和便携式监测仪器等的监测方法。</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jc w:val="left"/>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 2 \* GB3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②</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color w:val="auto"/>
          <w:sz w:val="28"/>
          <w:szCs w:val="28"/>
        </w:rPr>
        <w:t>现有的空气自动监测站、水质自动监测站和污染源在线监测系统等在用的监测方法。</w:t>
      </w:r>
    </w:p>
    <w:p>
      <w:pPr>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jc w:val="left"/>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fldChar w:fldCharType="begin"/>
      </w:r>
      <w:r>
        <w:rPr>
          <w:rFonts w:hint="default" w:ascii="Times New Roman" w:hAnsi="Times New Roman" w:eastAsia="仿宋" w:cs="Times New Roman"/>
          <w:color w:val="auto"/>
          <w:sz w:val="28"/>
          <w:szCs w:val="28"/>
        </w:rPr>
        <w:instrText xml:space="preserve"> = 3 \* GB3 </w:instrText>
      </w:r>
      <w:r>
        <w:rPr>
          <w:rFonts w:hint="default" w:ascii="Times New Roman" w:hAnsi="Times New Roman" w:eastAsia="仿宋" w:cs="Times New Roman"/>
          <w:color w:val="auto"/>
          <w:sz w:val="28"/>
          <w:szCs w:val="28"/>
        </w:rPr>
        <w:fldChar w:fldCharType="separate"/>
      </w:r>
      <w:r>
        <w:rPr>
          <w:rFonts w:hint="default" w:ascii="Times New Roman" w:hAnsi="Times New Roman" w:eastAsia="仿宋" w:cs="Times New Roman"/>
          <w:color w:val="auto"/>
          <w:sz w:val="28"/>
          <w:szCs w:val="28"/>
        </w:rPr>
        <w:t>③</w:t>
      </w:r>
      <w:r>
        <w:rPr>
          <w:rFonts w:hint="default" w:ascii="Times New Roman" w:hAnsi="Times New Roman" w:eastAsia="仿宋" w:cs="Times New Roman"/>
          <w:color w:val="auto"/>
          <w:sz w:val="28"/>
          <w:szCs w:val="28"/>
        </w:rPr>
        <w:fldChar w:fldCharType="end"/>
      </w:r>
      <w:r>
        <w:rPr>
          <w:rFonts w:hint="default" w:ascii="Times New Roman" w:hAnsi="Times New Roman" w:eastAsia="仿宋" w:cs="Times New Roman"/>
          <w:color w:val="auto"/>
          <w:sz w:val="28"/>
          <w:szCs w:val="28"/>
        </w:rPr>
        <w:t>现行实验室分析方法。</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（2）从速送实验室进行确认、鉴别，实验室应优先采用国家环境保护标准或行业标准。</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（3）当上述分析方法不能满足要求时，可根据各地具体情况和仪器设备条件，选用其他适宜的方法如ISO、美国EPA、日本JIS等国外的分析方法。</w:t>
      </w:r>
    </w:p>
    <w:p>
      <w:pPr>
        <w:ind w:firstLine="482" w:firstLineChars="200"/>
        <w:jc w:val="center"/>
        <w:rPr>
          <w:rFonts w:hint="default" w:ascii="Times New Roman" w:hAnsi="Times New Roman" w:eastAsia="仿宋" w:cs="Times New Roman"/>
          <w:b/>
          <w:color w:val="auto"/>
          <w:sz w:val="24"/>
        </w:rPr>
      </w:pPr>
      <w:r>
        <w:rPr>
          <w:rFonts w:hint="default" w:ascii="Times New Roman" w:hAnsi="Times New Roman" w:eastAsia="仿宋" w:cs="Times New Roman"/>
          <w:b/>
          <w:color w:val="auto"/>
          <w:sz w:val="24"/>
        </w:rPr>
        <w:t>表</w:t>
      </w:r>
      <w:r>
        <w:rPr>
          <w:rFonts w:hint="eastAsia" w:ascii="Times New Roman" w:hAnsi="Times New Roman" w:eastAsia="仿宋" w:cs="Times New Roman"/>
          <w:b/>
          <w:color w:val="auto"/>
          <w:sz w:val="24"/>
          <w:lang w:val="en-US" w:eastAsia="zh-CN"/>
        </w:rPr>
        <w:t>4.2</w:t>
      </w:r>
      <w:r>
        <w:rPr>
          <w:rFonts w:hint="default" w:ascii="Times New Roman" w:hAnsi="Times New Roman" w:eastAsia="仿宋" w:cs="Times New Roman"/>
          <w:b/>
          <w:color w:val="auto"/>
          <w:sz w:val="24"/>
        </w:rPr>
        <w:t>-1  事故应急监测计划表</w:t>
      </w:r>
    </w:p>
    <w:tbl>
      <w:tblPr>
        <w:tblStyle w:val="16"/>
        <w:tblW w:w="4997"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1701"/>
        <w:gridCol w:w="1002"/>
        <w:gridCol w:w="2002"/>
        <w:gridCol w:w="381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88" w:hRule="atLeast"/>
          <w:jc w:val="center"/>
        </w:trPr>
        <w:tc>
          <w:tcPr>
            <w:tcW w:w="1586" w:type="pct"/>
            <w:gridSpan w:val="2"/>
            <w:tcBorders>
              <w:tl2br w:val="nil"/>
              <w:tr2bl w:val="nil"/>
            </w:tcBorders>
            <w:noWrap w:val="0"/>
            <w:tcMar>
              <w:top w:w="0" w:type="dxa"/>
              <w:left w:w="108" w:type="dxa"/>
              <w:bottom w:w="0" w:type="dxa"/>
              <w:right w:w="108" w:type="dxa"/>
            </w:tcMar>
            <w:vAlign w:val="center"/>
          </w:tcPr>
          <w:p>
            <w:pPr>
              <w:snapToGrid w:val="0"/>
              <w:jc w:val="center"/>
              <w:rPr>
                <w:rFonts w:hint="default" w:ascii="Times New Roman" w:hAnsi="Times New Roman" w:eastAsia="仿宋" w:cs="Times New Roman"/>
                <w:color w:val="auto"/>
                <w:sz w:val="24"/>
                <w:szCs w:val="24"/>
              </w:rPr>
            </w:pPr>
            <w:bookmarkStart w:id="413" w:name="_Toc30064_WPSOffice_Level2"/>
            <w:r>
              <w:rPr>
                <w:rFonts w:hint="default" w:ascii="Times New Roman" w:hAnsi="Times New Roman" w:eastAsia="仿宋" w:cs="Times New Roman"/>
                <w:color w:val="auto"/>
                <w:sz w:val="24"/>
                <w:szCs w:val="24"/>
              </w:rPr>
              <w:t>类别</w:t>
            </w:r>
          </w:p>
        </w:tc>
        <w:tc>
          <w:tcPr>
            <w:tcW w:w="1175" w:type="pct"/>
            <w:tcBorders>
              <w:tl2br w:val="nil"/>
              <w:tr2bl w:val="nil"/>
            </w:tcBorders>
            <w:noWrap w:val="0"/>
            <w:tcMar>
              <w:top w:w="0" w:type="dxa"/>
              <w:left w:w="108" w:type="dxa"/>
              <w:bottom w:w="0" w:type="dxa"/>
              <w:right w:w="108" w:type="dxa"/>
            </w:tcMar>
            <w:vAlign w:val="center"/>
          </w:tcPr>
          <w:p>
            <w:pPr>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监测项目</w:t>
            </w:r>
          </w:p>
        </w:tc>
        <w:tc>
          <w:tcPr>
            <w:tcW w:w="2237" w:type="pct"/>
            <w:tcBorders>
              <w:tl2br w:val="nil"/>
              <w:tr2bl w:val="nil"/>
            </w:tcBorders>
            <w:noWrap w:val="0"/>
            <w:tcMar>
              <w:top w:w="0" w:type="dxa"/>
              <w:left w:w="108" w:type="dxa"/>
              <w:bottom w:w="0" w:type="dxa"/>
              <w:right w:w="108" w:type="dxa"/>
            </w:tcMar>
            <w:vAlign w:val="center"/>
          </w:tcPr>
          <w:p>
            <w:pPr>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监测点位</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877" w:hRule="atLeast"/>
          <w:jc w:val="center"/>
        </w:trPr>
        <w:tc>
          <w:tcPr>
            <w:tcW w:w="998" w:type="pct"/>
            <w:tcBorders>
              <w:tl2br w:val="nil"/>
              <w:tr2bl w:val="nil"/>
            </w:tcBorders>
            <w:noWrap w:val="0"/>
            <w:tcMar>
              <w:top w:w="0" w:type="dxa"/>
              <w:left w:w="108" w:type="dxa"/>
              <w:bottom w:w="0" w:type="dxa"/>
              <w:right w:w="108" w:type="dxa"/>
            </w:tcMar>
            <w:vAlign w:val="center"/>
          </w:tcPr>
          <w:p>
            <w:pPr>
              <w:tabs>
                <w:tab w:val="left" w:pos="3794"/>
              </w:tabs>
              <w:snapToGrid w:val="0"/>
              <w:jc w:val="both"/>
              <w:rPr>
                <w:rFonts w:hint="default" w:ascii="Times New Roman" w:hAnsi="Times New Roman" w:eastAsia="仿宋" w:cs="Times New Roman"/>
                <w:color w:val="auto"/>
                <w:sz w:val="24"/>
                <w:szCs w:val="24"/>
              </w:rPr>
            </w:pPr>
            <w:r>
              <w:rPr>
                <w:rFonts w:hint="eastAsia" w:ascii="Times New Roman" w:hAnsi="Times New Roman" w:eastAsia="仿宋"/>
                <w:color w:val="auto"/>
                <w:sz w:val="24"/>
                <w:szCs w:val="24"/>
                <w:lang w:val="en-US" w:eastAsia="zh-CN"/>
              </w:rPr>
              <w:t>丙烷、废机油、废润滑油及废乳化液</w:t>
            </w:r>
            <w:r>
              <w:rPr>
                <w:rFonts w:hint="eastAsia" w:ascii="Times New Roman" w:hAnsi="Times New Roman" w:eastAsia="仿宋"/>
                <w:color w:val="auto"/>
                <w:sz w:val="24"/>
                <w:szCs w:val="24"/>
              </w:rPr>
              <w:t>引起的</w:t>
            </w:r>
            <w:r>
              <w:rPr>
                <w:rFonts w:ascii="Times New Roman" w:hAnsi="Times New Roman" w:eastAsia="仿宋"/>
                <w:color w:val="auto"/>
                <w:sz w:val="24"/>
                <w:szCs w:val="24"/>
              </w:rPr>
              <w:t>火灾爆炸</w:t>
            </w:r>
          </w:p>
        </w:tc>
        <w:tc>
          <w:tcPr>
            <w:tcW w:w="588" w:type="pct"/>
            <w:tcBorders>
              <w:tl2br w:val="nil"/>
              <w:tr2bl w:val="nil"/>
            </w:tcBorders>
            <w:noWrap w:val="0"/>
            <w:tcMar>
              <w:top w:w="0" w:type="dxa"/>
              <w:left w:w="108" w:type="dxa"/>
              <w:bottom w:w="0" w:type="dxa"/>
              <w:right w:w="108" w:type="dxa"/>
            </w:tcMar>
            <w:vAlign w:val="center"/>
          </w:tcPr>
          <w:p>
            <w:pPr>
              <w:tabs>
                <w:tab w:val="left" w:pos="3794"/>
              </w:tabs>
              <w:snapToGrid w:val="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大气</w:t>
            </w:r>
          </w:p>
        </w:tc>
        <w:tc>
          <w:tcPr>
            <w:tcW w:w="1175" w:type="pct"/>
            <w:tcBorders>
              <w:tl2br w:val="nil"/>
              <w:tr2bl w:val="nil"/>
            </w:tcBorders>
            <w:noWrap w:val="0"/>
            <w:tcMar>
              <w:top w:w="0" w:type="dxa"/>
              <w:left w:w="108" w:type="dxa"/>
              <w:bottom w:w="0" w:type="dxa"/>
              <w:right w:w="108" w:type="dxa"/>
            </w:tcMar>
            <w:vAlign w:val="center"/>
          </w:tcPr>
          <w:p>
            <w:pPr>
              <w:tabs>
                <w:tab w:val="left" w:pos="3794"/>
              </w:tabs>
              <w:snapToGrid w:val="0"/>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颗粒物、二氧化硫、一氧化碳</w:t>
            </w:r>
          </w:p>
        </w:tc>
        <w:tc>
          <w:tcPr>
            <w:tcW w:w="2237" w:type="pct"/>
            <w:tcBorders>
              <w:tl2br w:val="nil"/>
              <w:tr2bl w:val="nil"/>
            </w:tcBorders>
            <w:noWrap w:val="0"/>
            <w:tcMar>
              <w:top w:w="0" w:type="dxa"/>
              <w:left w:w="108" w:type="dxa"/>
              <w:bottom w:w="0" w:type="dxa"/>
              <w:right w:w="108" w:type="dxa"/>
            </w:tcMar>
            <w:vAlign w:val="center"/>
          </w:tcPr>
          <w:p>
            <w:pPr>
              <w:tabs>
                <w:tab w:val="left" w:pos="3794"/>
              </w:tabs>
              <w:snapToGrid w:val="0"/>
              <w:jc w:val="center"/>
              <w:rPr>
                <w:rFonts w:hint="default" w:ascii="Times New Roman" w:hAnsi="Times New Roman" w:eastAsia="仿宋" w:cs="Times New Roman"/>
                <w:color w:val="auto"/>
                <w:sz w:val="24"/>
                <w:szCs w:val="24"/>
              </w:rPr>
            </w:pPr>
            <w:r>
              <w:rPr>
                <w:rFonts w:hint="eastAsia" w:ascii="Times New Roman" w:hAnsi="Times New Roman" w:eastAsia="仿宋" w:cs="Times New Roman"/>
                <w:color w:val="auto"/>
                <w:sz w:val="24"/>
                <w:szCs w:val="24"/>
                <w:lang w:eastAsia="zh-CN"/>
              </w:rPr>
              <w:t>厂区</w:t>
            </w:r>
            <w:r>
              <w:rPr>
                <w:rFonts w:hint="default" w:ascii="Times New Roman" w:hAnsi="Times New Roman" w:eastAsia="仿宋" w:cs="Times New Roman"/>
                <w:color w:val="auto"/>
                <w:sz w:val="24"/>
                <w:szCs w:val="24"/>
              </w:rPr>
              <w:t>边界、上风向参照点、下风向监控点</w:t>
            </w:r>
          </w:p>
        </w:tc>
      </w:tr>
      <w:bookmarkEnd w:id="413"/>
    </w:tbl>
    <w:p>
      <w:pPr>
        <w:pStyle w:val="13"/>
        <w:rPr>
          <w:rFonts w:hint="default"/>
          <w:color w:val="auto"/>
        </w:rPr>
      </w:pPr>
    </w:p>
    <w:p>
      <w:pPr>
        <w:rPr>
          <w:color w:val="auto"/>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textAlignment w:val="auto"/>
        <w:rPr>
          <w:rFonts w:hint="default" w:ascii="Times New Roman" w:hAnsi="Times New Roman" w:eastAsia="仿宋" w:cs="Times New Roman"/>
          <w:color w:val="auto"/>
          <w:sz w:val="30"/>
          <w:szCs w:val="30"/>
        </w:rPr>
      </w:pPr>
      <w:bookmarkStart w:id="414" w:name="_Toc23136"/>
      <w:bookmarkStart w:id="415" w:name="_Toc32081"/>
      <w:bookmarkStart w:id="416" w:name="_Toc6074"/>
      <w:bookmarkStart w:id="417" w:name="_Toc25658"/>
      <w:bookmarkStart w:id="418" w:name="_Toc28829_WPSOffice_Level1"/>
      <w:bookmarkStart w:id="419" w:name="_Toc4756"/>
      <w:bookmarkStart w:id="420" w:name="_Toc8134"/>
      <w:bookmarkStart w:id="421" w:name="_Toc17732484"/>
      <w:bookmarkStart w:id="422" w:name="_Toc19913"/>
      <w:r>
        <w:rPr>
          <w:rFonts w:hint="default" w:ascii="Times New Roman" w:hAnsi="Times New Roman" w:eastAsia="仿宋" w:cs="Times New Roman"/>
          <w:color w:val="auto"/>
          <w:sz w:val="30"/>
          <w:szCs w:val="30"/>
          <w:lang w:val="en-US" w:eastAsia="zh-CN"/>
        </w:rPr>
        <w:t>5现有环境风险防控和应急措施差距分析</w:t>
      </w:r>
      <w:bookmarkEnd w:id="414"/>
      <w:bookmarkEnd w:id="415"/>
      <w:bookmarkEnd w:id="416"/>
      <w:bookmarkEnd w:id="417"/>
      <w:bookmarkEnd w:id="418"/>
      <w:bookmarkEnd w:id="419"/>
      <w:bookmarkEnd w:id="420"/>
      <w:bookmarkEnd w:id="421"/>
      <w:bookmarkEnd w:id="422"/>
    </w:p>
    <w:p>
      <w:pPr>
        <w:pStyle w:val="2"/>
        <w:bidi w:val="0"/>
        <w:outlineLvl w:val="0"/>
        <w:rPr>
          <w:rFonts w:hint="default" w:ascii="Times New Roman" w:hAnsi="Times New Roman" w:eastAsia="仿宋" w:cs="Times New Roman"/>
          <w:color w:val="auto"/>
        </w:rPr>
      </w:pPr>
      <w:bookmarkStart w:id="423" w:name="_Toc9024"/>
      <w:bookmarkStart w:id="424" w:name="_Toc28299"/>
      <w:bookmarkStart w:id="425" w:name="_Toc19263_WPSOffice_Level1"/>
      <w:bookmarkStart w:id="426" w:name="_Toc5776_WPSOffice_Level1"/>
      <w:bookmarkStart w:id="427" w:name="_Toc17316_WPSOffice_Level1"/>
      <w:bookmarkStart w:id="428" w:name="_Toc2313"/>
      <w:bookmarkStart w:id="429" w:name="_Toc27440"/>
      <w:bookmarkStart w:id="430" w:name="_Toc14322"/>
      <w:bookmarkStart w:id="431" w:name="_Toc15970"/>
      <w:bookmarkStart w:id="432" w:name="_Toc19791"/>
      <w:bookmarkStart w:id="433" w:name="_Toc8141"/>
      <w:bookmarkStart w:id="434" w:name="_Toc524645555"/>
      <w:bookmarkStart w:id="435" w:name="_Toc17732485"/>
      <w:bookmarkStart w:id="436" w:name="_Toc25315_WPSOffice_Level1"/>
      <w:r>
        <w:rPr>
          <w:rFonts w:hint="default" w:ascii="Times New Roman" w:hAnsi="Times New Roman" w:eastAsia="仿宋" w:cs="Times New Roman"/>
          <w:color w:val="auto"/>
        </w:rPr>
        <w:t>5.1环境风险管理制度</w:t>
      </w:r>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环境风险管理制度情况见表5.1-1。</w:t>
      </w:r>
      <w:bookmarkStart w:id="437" w:name="_Toc22797"/>
    </w:p>
    <w:p>
      <w:pPr>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表5.1-1  环境风险管理制度</w:t>
      </w:r>
      <w:bookmarkEnd w:id="437"/>
      <w:r>
        <w:rPr>
          <w:rFonts w:hint="default" w:ascii="Times New Roman" w:hAnsi="Times New Roman" w:eastAsia="仿宋" w:cs="Times New Roman"/>
          <w:b/>
          <w:bCs/>
          <w:color w:val="auto"/>
          <w:sz w:val="24"/>
          <w:szCs w:val="24"/>
          <w:highlight w:val="none"/>
        </w:rPr>
        <w:t>情况</w:t>
      </w:r>
    </w:p>
    <w:tbl>
      <w:tblPr>
        <w:tblStyle w:val="16"/>
        <w:tblW w:w="0" w:type="auto"/>
        <w:jc w:val="center"/>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581"/>
        <w:gridCol w:w="3213"/>
        <w:gridCol w:w="709"/>
        <w:gridCol w:w="1560"/>
        <w:gridCol w:w="2459"/>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581" w:type="dxa"/>
            <w:noWrap w:val="0"/>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序号</w:t>
            </w:r>
          </w:p>
        </w:tc>
        <w:tc>
          <w:tcPr>
            <w:tcW w:w="3213" w:type="dxa"/>
            <w:noWrap w:val="0"/>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内容</w:t>
            </w:r>
          </w:p>
        </w:tc>
        <w:tc>
          <w:tcPr>
            <w:tcW w:w="709"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是否建立</w:t>
            </w:r>
          </w:p>
        </w:tc>
        <w:tc>
          <w:tcPr>
            <w:tcW w:w="1560"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是否与应急措施相符合</w:t>
            </w:r>
          </w:p>
        </w:tc>
        <w:tc>
          <w:tcPr>
            <w:tcW w:w="2459"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建议</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581"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w:t>
            </w:r>
          </w:p>
        </w:tc>
        <w:tc>
          <w:tcPr>
            <w:tcW w:w="3213" w:type="dxa"/>
            <w:noWrap w:val="0"/>
            <w:vAlign w:val="center"/>
          </w:tcPr>
          <w:p>
            <w:pP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环境风险防控和应急措施制度</w:t>
            </w:r>
          </w:p>
        </w:tc>
        <w:tc>
          <w:tcPr>
            <w:tcW w:w="709"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是</w:t>
            </w:r>
          </w:p>
        </w:tc>
        <w:tc>
          <w:tcPr>
            <w:tcW w:w="1560"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符合</w:t>
            </w:r>
          </w:p>
        </w:tc>
        <w:tc>
          <w:tcPr>
            <w:tcW w:w="2459" w:type="dxa"/>
            <w:noWrap w:val="0"/>
            <w:vAlign w:val="center"/>
          </w:tcPr>
          <w:p>
            <w:pPr>
              <w:ind w:left="0" w:leftChars="0"/>
              <w:jc w:val="both"/>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根据企业环境风险管理制度，明确环境风险单元的管理要求</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581"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w:t>
            </w:r>
          </w:p>
        </w:tc>
        <w:tc>
          <w:tcPr>
            <w:tcW w:w="3213" w:type="dxa"/>
            <w:noWrap w:val="0"/>
            <w:vAlign w:val="center"/>
          </w:tcPr>
          <w:p>
            <w:pP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环境风险防控责任人及责任机构</w:t>
            </w:r>
          </w:p>
        </w:tc>
        <w:tc>
          <w:tcPr>
            <w:tcW w:w="709"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是</w:t>
            </w:r>
          </w:p>
        </w:tc>
        <w:tc>
          <w:tcPr>
            <w:tcW w:w="1560"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符合</w:t>
            </w:r>
          </w:p>
        </w:tc>
        <w:tc>
          <w:tcPr>
            <w:tcW w:w="2459" w:type="dxa"/>
            <w:noWrap w:val="0"/>
            <w:vAlign w:val="center"/>
          </w:tcPr>
          <w:p>
            <w:pPr>
              <w:ind w:left="0" w:leftChars="0"/>
              <w:jc w:val="both"/>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定期对员工进行操作培训，加强员工的风险防范意识，制定赏罚制度</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581"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3</w:t>
            </w:r>
          </w:p>
        </w:tc>
        <w:tc>
          <w:tcPr>
            <w:tcW w:w="3213" w:type="dxa"/>
            <w:noWrap w:val="0"/>
            <w:vAlign w:val="center"/>
          </w:tcPr>
          <w:p>
            <w:pP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定期巡检和维护责任制度</w:t>
            </w:r>
          </w:p>
        </w:tc>
        <w:tc>
          <w:tcPr>
            <w:tcW w:w="709"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是</w:t>
            </w:r>
          </w:p>
        </w:tc>
        <w:tc>
          <w:tcPr>
            <w:tcW w:w="1560"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符合</w:t>
            </w:r>
          </w:p>
        </w:tc>
        <w:tc>
          <w:tcPr>
            <w:tcW w:w="2459"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无</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581"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4</w:t>
            </w:r>
          </w:p>
        </w:tc>
        <w:tc>
          <w:tcPr>
            <w:tcW w:w="3213" w:type="dxa"/>
            <w:noWrap w:val="0"/>
            <w:vAlign w:val="center"/>
          </w:tcPr>
          <w:p>
            <w:pP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环评及批复中各项环境风险防控和应急措施要求</w:t>
            </w:r>
          </w:p>
        </w:tc>
        <w:tc>
          <w:tcPr>
            <w:tcW w:w="709"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是</w:t>
            </w:r>
          </w:p>
        </w:tc>
        <w:tc>
          <w:tcPr>
            <w:tcW w:w="1560"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符合</w:t>
            </w:r>
          </w:p>
        </w:tc>
        <w:tc>
          <w:tcPr>
            <w:tcW w:w="2459"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无</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581"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5</w:t>
            </w:r>
          </w:p>
        </w:tc>
        <w:tc>
          <w:tcPr>
            <w:tcW w:w="3213" w:type="dxa"/>
            <w:noWrap w:val="0"/>
            <w:vAlign w:val="center"/>
          </w:tcPr>
          <w:p>
            <w:pP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对职工开展环境风险和环境应急管理宣传和培训（一年一次以上）</w:t>
            </w:r>
          </w:p>
        </w:tc>
        <w:tc>
          <w:tcPr>
            <w:tcW w:w="709"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是</w:t>
            </w:r>
          </w:p>
        </w:tc>
        <w:tc>
          <w:tcPr>
            <w:tcW w:w="1560"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符合</w:t>
            </w:r>
          </w:p>
        </w:tc>
        <w:tc>
          <w:tcPr>
            <w:tcW w:w="2459" w:type="dxa"/>
            <w:noWrap w:val="0"/>
            <w:vAlign w:val="center"/>
          </w:tcPr>
          <w:p>
            <w:pPr>
              <w:ind w:left="0" w:leftChars="0"/>
              <w:jc w:val="both"/>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定期培训，当个别应急人员发生变化时，需对该人员进行单独培训，明确各员工的职责及强化其现场应急抢险技能，以备事故发生时能及时顺利地开展应急抢险工作。</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581"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6</w:t>
            </w:r>
          </w:p>
        </w:tc>
        <w:tc>
          <w:tcPr>
            <w:tcW w:w="3213" w:type="dxa"/>
            <w:noWrap w:val="0"/>
            <w:vAlign w:val="center"/>
          </w:tcPr>
          <w:p>
            <w:pP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建立突发环境事件信息报告制度</w:t>
            </w:r>
          </w:p>
        </w:tc>
        <w:tc>
          <w:tcPr>
            <w:tcW w:w="709"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是</w:t>
            </w:r>
          </w:p>
        </w:tc>
        <w:tc>
          <w:tcPr>
            <w:tcW w:w="1560"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符合</w:t>
            </w:r>
          </w:p>
        </w:tc>
        <w:tc>
          <w:tcPr>
            <w:tcW w:w="2459" w:type="dxa"/>
            <w:noWrap w:val="0"/>
            <w:vAlign w:val="center"/>
          </w:tcPr>
          <w:p>
            <w:pPr>
              <w:ind w:left="0" w:leftChars="0"/>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无</w:t>
            </w:r>
          </w:p>
        </w:tc>
      </w:tr>
    </w:tbl>
    <w:p>
      <w:pPr>
        <w:pStyle w:val="2"/>
        <w:keepNext/>
        <w:keepLines/>
        <w:pageBreakBefore w:val="0"/>
        <w:widowControl w:val="0"/>
        <w:kinsoku/>
        <w:wordWrap/>
        <w:overflowPunct/>
        <w:topLinePunct w:val="0"/>
        <w:autoSpaceDE/>
        <w:autoSpaceDN/>
        <w:bidi w:val="0"/>
        <w:adjustRightInd w:val="0"/>
        <w:snapToGrid w:val="0"/>
        <w:spacing w:before="157" w:beforeLines="50"/>
        <w:textAlignment w:val="auto"/>
        <w:outlineLvl w:val="0"/>
        <w:rPr>
          <w:rFonts w:hint="default" w:ascii="Times New Roman" w:hAnsi="Times New Roman" w:eastAsia="仿宋" w:cs="Times New Roman"/>
          <w:color w:val="auto"/>
        </w:rPr>
      </w:pPr>
      <w:bookmarkStart w:id="438" w:name="_Toc8335"/>
      <w:bookmarkStart w:id="439" w:name="_Toc136"/>
      <w:bookmarkStart w:id="440" w:name="_Toc31768_WPSOffice_Level1"/>
      <w:bookmarkStart w:id="441" w:name="_Toc26101_WPSOffice_Level1"/>
      <w:bookmarkStart w:id="442" w:name="_Toc524645556"/>
      <w:bookmarkStart w:id="443" w:name="_Toc18469"/>
      <w:bookmarkStart w:id="444" w:name="_Toc16595"/>
      <w:bookmarkStart w:id="445" w:name="_Toc17732486"/>
      <w:bookmarkStart w:id="446" w:name="_Toc789"/>
      <w:bookmarkStart w:id="447" w:name="_Toc4598_WPSOffice_Level1"/>
      <w:bookmarkStart w:id="448" w:name="_Toc27684"/>
      <w:bookmarkStart w:id="449" w:name="_Toc821"/>
      <w:bookmarkStart w:id="450" w:name="_Toc21574_WPSOffice_Level1"/>
      <w:bookmarkStart w:id="451" w:name="_Toc32044"/>
      <w:r>
        <w:rPr>
          <w:rFonts w:hint="default" w:ascii="Times New Roman" w:hAnsi="Times New Roman" w:eastAsia="仿宋" w:cs="Times New Roman"/>
          <w:color w:val="auto"/>
        </w:rPr>
        <w:t>5.2环境风险防控与应急措施</w:t>
      </w:r>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p>
    <w:p>
      <w:pPr>
        <w:ind w:firstLine="480" w:firstLineChars="200"/>
        <w:jc w:val="center"/>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表5.2-1  环境风险防控与应急措施落实表</w:t>
      </w:r>
    </w:p>
    <w:tbl>
      <w:tblPr>
        <w:tblStyle w:val="16"/>
        <w:tblW w:w="0" w:type="auto"/>
        <w:jc w:val="center"/>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300"/>
        <w:gridCol w:w="4565"/>
        <w:gridCol w:w="2642"/>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300" w:type="dxa"/>
            <w:noWrap w:val="0"/>
            <w:vAlign w:val="center"/>
          </w:tcPr>
          <w:p>
            <w:pPr>
              <w:snapToGrid w:val="0"/>
              <w:rPr>
                <w:rFonts w:hint="default" w:ascii="Times New Roman" w:hAnsi="Times New Roman" w:eastAsia="仿宋" w:cs="Times New Roman"/>
                <w:b/>
                <w:bCs/>
                <w:color w:val="auto"/>
                <w:sz w:val="24"/>
                <w:szCs w:val="24"/>
              </w:rPr>
            </w:pPr>
            <w:bookmarkStart w:id="452" w:name="_Toc6742_WPSOffice_Level1"/>
            <w:bookmarkStart w:id="453" w:name="_Toc24671_WPSOffice_Level1"/>
            <w:bookmarkStart w:id="454" w:name="_Toc30487"/>
            <w:bookmarkStart w:id="455" w:name="_Toc11791"/>
            <w:bookmarkStart w:id="456" w:name="_Toc15320_WPSOffice_Level1"/>
            <w:bookmarkStart w:id="457" w:name="_Toc3850"/>
            <w:bookmarkStart w:id="458" w:name="_Toc22037"/>
            <w:bookmarkStart w:id="459" w:name="_Toc16708"/>
            <w:bookmarkStart w:id="460" w:name="_Toc27886_WPSOffice_Level1"/>
            <w:bookmarkStart w:id="461" w:name="_Toc524645557"/>
            <w:bookmarkStart w:id="462" w:name="_Toc9673"/>
            <w:bookmarkStart w:id="463" w:name="_Toc17732487"/>
            <w:r>
              <w:rPr>
                <w:rFonts w:hint="default" w:ascii="Times New Roman" w:hAnsi="Times New Roman" w:eastAsia="仿宋" w:cs="Times New Roman"/>
                <w:b/>
                <w:bCs/>
                <w:color w:val="auto"/>
                <w:sz w:val="24"/>
                <w:szCs w:val="24"/>
              </w:rPr>
              <w:t>序号</w:t>
            </w:r>
          </w:p>
        </w:tc>
        <w:tc>
          <w:tcPr>
            <w:tcW w:w="4565" w:type="dxa"/>
            <w:noWrap w:val="0"/>
            <w:vAlign w:val="center"/>
          </w:tcPr>
          <w:p>
            <w:pPr>
              <w:snapToGrid w:val="0"/>
              <w:ind w:firstLine="480" w:firstLineChars="20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环境风险防控与应急措施</w:t>
            </w:r>
          </w:p>
        </w:tc>
        <w:tc>
          <w:tcPr>
            <w:tcW w:w="2642" w:type="dxa"/>
            <w:noWrap w:val="0"/>
            <w:vAlign w:val="center"/>
          </w:tcPr>
          <w:p>
            <w:pPr>
              <w:snapToGrid w:val="0"/>
              <w:ind w:firstLine="480" w:firstLineChars="200"/>
              <w:jc w:val="center"/>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落实情况</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4" w:hRule="atLeast"/>
          <w:jc w:val="center"/>
        </w:trPr>
        <w:tc>
          <w:tcPr>
            <w:tcW w:w="1300" w:type="dxa"/>
            <w:noWrap w:val="0"/>
            <w:vAlign w:val="center"/>
          </w:tcPr>
          <w:p>
            <w:pPr>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1</w:t>
            </w:r>
          </w:p>
        </w:tc>
        <w:tc>
          <w:tcPr>
            <w:tcW w:w="4565" w:type="dxa"/>
            <w:noWrap w:val="0"/>
            <w:vAlign w:val="center"/>
          </w:tcPr>
          <w:p>
            <w:pP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是否在废气排放口、废水、雨水和清洁下水排放口对可能排出的环境风险物质，按照物质特性、危害、设置监视、控制措施，分析每项措施的管理规定，岗位职责落实情况和措施的有效性</w:t>
            </w:r>
          </w:p>
        </w:tc>
        <w:tc>
          <w:tcPr>
            <w:tcW w:w="2642" w:type="dxa"/>
            <w:noWrap w:val="0"/>
            <w:vAlign w:val="center"/>
          </w:tcPr>
          <w:p>
            <w:pPr>
              <w:rPr>
                <w:rFonts w:hint="default" w:ascii="Times New Roman" w:hAnsi="Times New Roman" w:eastAsia="仿宋" w:cs="Times New Roman"/>
                <w:color w:val="auto"/>
                <w:sz w:val="24"/>
                <w:szCs w:val="24"/>
                <w:lang w:val="en-US" w:eastAsia="zh-CN"/>
              </w:rPr>
            </w:pPr>
            <w:r>
              <w:rPr>
                <w:rFonts w:hint="eastAsia" w:ascii="Times New Roman" w:hAnsi="Times New Roman" w:eastAsia="仿宋"/>
                <w:color w:val="auto"/>
                <w:sz w:val="24"/>
                <w:szCs w:val="24"/>
                <w:highlight w:val="none"/>
              </w:rPr>
              <w:t>厂区采用雨污分流</w:t>
            </w:r>
            <w:r>
              <w:rPr>
                <w:rFonts w:hint="eastAsia" w:ascii="Times New Roman" w:hAnsi="Times New Roman" w:eastAsia="仿宋"/>
                <w:color w:val="auto"/>
                <w:sz w:val="24"/>
                <w:szCs w:val="24"/>
                <w:highlight w:val="none"/>
                <w:lang w:eastAsia="zh-CN"/>
              </w:rPr>
              <w:t>，</w:t>
            </w:r>
            <w:r>
              <w:rPr>
                <w:rFonts w:hint="default" w:ascii="Times New Roman" w:hAnsi="Times New Roman" w:eastAsia="仿宋"/>
                <w:color w:val="auto"/>
                <w:sz w:val="24"/>
                <w:szCs w:val="24"/>
              </w:rPr>
              <w:t>雨水经雨水管道收集后排入市政雨水管道</w:t>
            </w:r>
            <w:r>
              <w:rPr>
                <w:rFonts w:hint="eastAsia" w:ascii="Times New Roman" w:hAnsi="Times New Roman" w:eastAsia="仿宋"/>
                <w:color w:val="auto"/>
                <w:sz w:val="24"/>
                <w:szCs w:val="24"/>
                <w:lang w:val="en-US" w:eastAsia="zh-CN"/>
              </w:rPr>
              <w:t>，</w:t>
            </w:r>
            <w:r>
              <w:rPr>
                <w:rFonts w:ascii="Times New Roman" w:hAnsi="Times New Roman" w:eastAsia="仿宋"/>
                <w:color w:val="auto"/>
                <w:sz w:val="24"/>
                <w:szCs w:val="24"/>
              </w:rPr>
              <w:t>在紧急情况下有专人负责关闭雨水系统总排口，防止雨水、消防水和泄漏物进入外环境</w:t>
            </w:r>
            <w:r>
              <w:rPr>
                <w:rFonts w:hint="eastAsia" w:ascii="Times New Roman" w:hAnsi="Times New Roman" w:eastAsia="仿宋"/>
                <w:color w:val="auto"/>
                <w:sz w:val="24"/>
                <w:szCs w:val="24"/>
                <w:lang w:eastAsia="zh-CN"/>
              </w:rPr>
              <w:t>；生活污水进入化粪池处理后,经市政纳污管网排入秦汉新城朝阳污水处理厂处理。</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300" w:type="dxa"/>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2</w:t>
            </w:r>
          </w:p>
        </w:tc>
        <w:tc>
          <w:tcPr>
            <w:tcW w:w="4565" w:type="dxa"/>
            <w:noWrap w:val="0"/>
            <w:vAlign w:val="center"/>
          </w:tcPr>
          <w:p>
            <w:pP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是否采取防止事故排水、污染物等扩散、排出厂界的措施、包括截流措施、雨水系统防控措施、生产系统废水防控措施等分析每项措施的管理规定、岗位职责落实情况和措施的有效性</w:t>
            </w:r>
          </w:p>
        </w:tc>
        <w:tc>
          <w:tcPr>
            <w:tcW w:w="2642" w:type="dxa"/>
            <w:noWrap w:val="0"/>
            <w:vAlign w:val="center"/>
          </w:tcPr>
          <w:p>
            <w:pPr>
              <w:rPr>
                <w:rFonts w:hint="default" w:ascii="Times New Roman" w:hAnsi="Times New Roman" w:eastAsia="仿宋" w:cs="Times New Roman"/>
                <w:color w:val="auto"/>
                <w:sz w:val="24"/>
                <w:szCs w:val="24"/>
                <w:highlight w:val="none"/>
              </w:rPr>
            </w:pPr>
            <w:r>
              <w:rPr>
                <w:rFonts w:hint="eastAsia" w:ascii="Times New Roman" w:hAnsi="Times New Roman" w:eastAsia="仿宋" w:cs="Times New Roman"/>
                <w:color w:val="auto"/>
                <w:sz w:val="24"/>
                <w:szCs w:val="24"/>
                <w:highlight w:val="none"/>
                <w:lang w:val="en-US" w:eastAsia="zh-CN"/>
              </w:rPr>
              <w:t>厂区内地面全部硬化，危废暂存间内设有围堰</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1300" w:type="dxa"/>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3</w:t>
            </w:r>
          </w:p>
        </w:tc>
        <w:tc>
          <w:tcPr>
            <w:tcW w:w="4565" w:type="dxa"/>
            <w:noWrap w:val="0"/>
            <w:vAlign w:val="center"/>
          </w:tcPr>
          <w:p>
            <w:pP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涉及毒性气体的，是否设置毒性气体泄漏紧急处置装置，是否已布置生产区域或厂界毒性气体泄漏监控预警系统，是否有提醒周边公众紧急疏散的措施和手段等，分析每项措施的管理规定、岗位责任落实情况和措施的有效性</w:t>
            </w:r>
          </w:p>
        </w:tc>
        <w:tc>
          <w:tcPr>
            <w:tcW w:w="2642" w:type="dxa"/>
            <w:noWrap w:val="0"/>
            <w:vAlign w:val="center"/>
          </w:tcPr>
          <w:p>
            <w:pPr>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rPr>
              <w:t>本项目不涉及到毒性气体</w:t>
            </w:r>
          </w:p>
        </w:tc>
      </w:tr>
    </w:tbl>
    <w:p>
      <w:pPr>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0"/>
        <w:rPr>
          <w:rFonts w:hint="default" w:ascii="Times New Roman" w:hAnsi="Times New Roman" w:eastAsia="仿宋" w:cs="Times New Roman"/>
          <w:b/>
          <w:bCs/>
          <w:color w:val="auto"/>
          <w:sz w:val="28"/>
          <w:szCs w:val="28"/>
        </w:rPr>
      </w:pPr>
      <w:bookmarkStart w:id="464" w:name="_Toc16120"/>
      <w:bookmarkStart w:id="465" w:name="_Toc2879"/>
      <w:r>
        <w:rPr>
          <w:rFonts w:hint="default" w:ascii="Times New Roman" w:hAnsi="Times New Roman" w:eastAsia="仿宋" w:cs="Times New Roman"/>
          <w:b/>
          <w:bCs/>
          <w:color w:val="auto"/>
          <w:sz w:val="28"/>
          <w:szCs w:val="28"/>
        </w:rPr>
        <w:t>5.3环境应急资源</w:t>
      </w:r>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（1）配备了必要的应急物资和应急设备；</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（2）设置了应急救援队伍；</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外部救援机构均为政府职能部门或服务性机构及互助单位，一旦发生突发环境事件，通过信息传递需要实施外部救援时，相关部门本着“以人为本，快速响应”的原则，有责任和义务对本公司进行应急救援。</w:t>
      </w:r>
      <w:bookmarkStart w:id="466" w:name="_Toc26654"/>
      <w:bookmarkStart w:id="467" w:name="_Toc8901"/>
      <w:bookmarkStart w:id="468" w:name="_Toc17732488"/>
      <w:bookmarkStart w:id="469" w:name="_Toc29878_WPSOffice_Level1"/>
      <w:bookmarkStart w:id="470" w:name="_Toc15986"/>
      <w:bookmarkStart w:id="471" w:name="_Toc524645558"/>
      <w:bookmarkStart w:id="472" w:name="_Toc12730"/>
      <w:bookmarkStart w:id="473" w:name="_Toc18641"/>
      <w:bookmarkStart w:id="474" w:name="_Toc19518_WPSOffice_Level1"/>
      <w:bookmarkStart w:id="475" w:name="_Toc31712"/>
      <w:bookmarkStart w:id="476" w:name="_Toc4719_WPSOffice_Level1"/>
      <w:bookmarkStart w:id="477" w:name="_Toc1448_WPSOffice_Level1"/>
    </w:p>
    <w:p>
      <w:pPr>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0"/>
        <w:rPr>
          <w:rFonts w:hint="default" w:ascii="Times New Roman" w:hAnsi="Times New Roman" w:eastAsia="仿宋" w:cs="Times New Roman"/>
          <w:color w:val="auto"/>
          <w:sz w:val="28"/>
          <w:szCs w:val="28"/>
        </w:rPr>
      </w:pPr>
      <w:bookmarkStart w:id="478" w:name="_Toc6528"/>
      <w:bookmarkStart w:id="479" w:name="_Toc27944"/>
      <w:r>
        <w:rPr>
          <w:rFonts w:hint="default" w:ascii="Times New Roman" w:hAnsi="Times New Roman" w:eastAsia="仿宋" w:cs="Times New Roman"/>
          <w:b/>
          <w:bCs/>
          <w:color w:val="auto"/>
          <w:sz w:val="28"/>
          <w:szCs w:val="28"/>
        </w:rPr>
        <w:t>5.4历史经验总结教训</w:t>
      </w:r>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对前文收集的国内同类企业突发环境事件案例进行分析、总结。企业引以为戒、吸取历史经验教训，针对上述酿成事故的原因，采取了如下相应对策：</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（1）对</w:t>
      </w:r>
      <w:r>
        <w:rPr>
          <w:rFonts w:hint="eastAsia" w:ascii="Times New Roman" w:hAnsi="Times New Roman" w:eastAsia="仿宋" w:cs="Times New Roman"/>
          <w:color w:val="auto"/>
          <w:sz w:val="28"/>
          <w:szCs w:val="28"/>
          <w:lang w:val="en-US" w:eastAsia="zh-CN"/>
        </w:rPr>
        <w:t>厂</w:t>
      </w:r>
      <w:r>
        <w:rPr>
          <w:rFonts w:hint="default" w:ascii="Times New Roman" w:hAnsi="Times New Roman" w:eastAsia="仿宋" w:cs="Times New Roman"/>
          <w:color w:val="auto"/>
          <w:sz w:val="28"/>
          <w:szCs w:val="28"/>
        </w:rPr>
        <w:t>区进行定期检查，发现问题及时更改；</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（2）严格管控站区内的火源，</w:t>
      </w:r>
      <w:r>
        <w:rPr>
          <w:rFonts w:hint="eastAsia" w:ascii="Times New Roman" w:hAnsi="Times New Roman" w:eastAsia="仿宋" w:cs="Times New Roman"/>
          <w:color w:val="auto"/>
          <w:sz w:val="28"/>
          <w:szCs w:val="28"/>
          <w:lang w:val="en-US" w:eastAsia="zh-CN"/>
        </w:rPr>
        <w:t>车间</w:t>
      </w:r>
      <w:r>
        <w:rPr>
          <w:rFonts w:hint="default" w:ascii="Times New Roman" w:hAnsi="Times New Roman" w:eastAsia="仿宋" w:cs="Times New Roman"/>
          <w:color w:val="auto"/>
          <w:sz w:val="28"/>
          <w:szCs w:val="28"/>
        </w:rPr>
        <w:t>内及周围禁止吸烟；</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（3）加强管理，定期开展员工培训，提高员工素质。</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0"/>
        <w:rPr>
          <w:rFonts w:hint="default" w:ascii="Times New Roman" w:hAnsi="Times New Roman" w:eastAsia="仿宋" w:cs="Times New Roman"/>
          <w:b/>
          <w:bCs/>
          <w:color w:val="auto"/>
          <w:sz w:val="28"/>
          <w:szCs w:val="28"/>
          <w:highlight w:val="none"/>
        </w:rPr>
      </w:pPr>
      <w:bookmarkStart w:id="480" w:name="_Toc24633"/>
      <w:bookmarkStart w:id="481" w:name="_Toc524645559"/>
      <w:bookmarkStart w:id="482" w:name="_Toc17732489"/>
      <w:bookmarkStart w:id="483" w:name="_Toc11834_WPSOffice_Level1"/>
      <w:bookmarkStart w:id="484" w:name="_Toc947"/>
      <w:bookmarkStart w:id="485" w:name="_Toc16068_WPSOffice_Level1"/>
      <w:bookmarkStart w:id="486" w:name="_Toc21895_WPSOffice_Level1"/>
      <w:bookmarkStart w:id="487" w:name="_Toc22438_WPSOffice_Level1"/>
      <w:bookmarkStart w:id="488" w:name="_Toc32587"/>
      <w:bookmarkStart w:id="489" w:name="_Toc20433"/>
      <w:bookmarkStart w:id="490" w:name="_Toc25885"/>
      <w:bookmarkStart w:id="491" w:name="_Toc12156"/>
      <w:bookmarkStart w:id="492" w:name="_Toc7555"/>
      <w:bookmarkStart w:id="493" w:name="_Toc22324"/>
      <w:r>
        <w:rPr>
          <w:rFonts w:hint="default" w:ascii="Times New Roman" w:hAnsi="Times New Roman" w:eastAsia="仿宋" w:cs="Times New Roman"/>
          <w:b/>
          <w:bCs/>
          <w:color w:val="auto"/>
          <w:sz w:val="28"/>
          <w:szCs w:val="28"/>
          <w:highlight w:val="none"/>
        </w:rPr>
        <w:t>5.5需要整改的短期、中期和长期项目内容</w:t>
      </w:r>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针对上述排查的每一项差距和隐患，根据其危害性、紧迫性和治理时间的长短，提出需要完成整改的期限，分别按短期（3个月以内）、中期（3-6个月）和长期（6个月以上）给出。</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rPr>
        <w:t>环境风险防控和应急措施的实施计划见下表。</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表5.5-1 环境风险防控和应急措施的实施计划</w:t>
      </w:r>
    </w:p>
    <w:tbl>
      <w:tblPr>
        <w:tblStyle w:val="16"/>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963"/>
        <w:gridCol w:w="639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1963" w:type="dxa"/>
            <w:vAlign w:val="center"/>
          </w:tcPr>
          <w:p>
            <w:pPr>
              <w:pStyle w:val="27"/>
              <w:ind w:firstLine="482"/>
              <w:rPr>
                <w:rFonts w:ascii="Times New Roman" w:hAnsi="Times New Roman" w:eastAsia="仿宋"/>
                <w:b/>
                <w:bCs/>
                <w:color w:val="auto"/>
                <w:sz w:val="24"/>
                <w:szCs w:val="24"/>
              </w:rPr>
            </w:pPr>
            <w:r>
              <w:rPr>
                <w:rFonts w:ascii="Times New Roman" w:hAnsi="Times New Roman" w:eastAsia="仿宋"/>
                <w:b/>
                <w:bCs/>
                <w:color w:val="auto"/>
                <w:sz w:val="24"/>
                <w:szCs w:val="24"/>
              </w:rPr>
              <w:t>整改期限</w:t>
            </w:r>
          </w:p>
        </w:tc>
        <w:tc>
          <w:tcPr>
            <w:tcW w:w="6399" w:type="dxa"/>
            <w:vAlign w:val="center"/>
          </w:tcPr>
          <w:p>
            <w:pPr>
              <w:pStyle w:val="27"/>
              <w:ind w:firstLine="482"/>
              <w:jc w:val="center"/>
              <w:rPr>
                <w:rFonts w:ascii="Times New Roman" w:hAnsi="Times New Roman" w:eastAsia="仿宋"/>
                <w:b/>
                <w:bCs/>
                <w:color w:val="auto"/>
                <w:sz w:val="24"/>
                <w:szCs w:val="24"/>
              </w:rPr>
            </w:pPr>
            <w:r>
              <w:rPr>
                <w:rFonts w:ascii="Times New Roman" w:hAnsi="Times New Roman" w:eastAsia="仿宋"/>
                <w:b/>
                <w:bCs/>
                <w:color w:val="auto"/>
                <w:sz w:val="24"/>
                <w:szCs w:val="24"/>
              </w:rPr>
              <w:t>实施计划</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1963" w:type="dxa"/>
            <w:vAlign w:val="center"/>
          </w:tcPr>
          <w:p>
            <w:pPr>
              <w:pStyle w:val="27"/>
              <w:ind w:firstLine="0" w:firstLineChars="0"/>
              <w:rPr>
                <w:rFonts w:ascii="Times New Roman" w:hAnsi="Times New Roman" w:eastAsia="仿宋"/>
                <w:color w:val="auto"/>
                <w:sz w:val="24"/>
                <w:szCs w:val="24"/>
              </w:rPr>
            </w:pPr>
            <w:r>
              <w:rPr>
                <w:rFonts w:ascii="Times New Roman" w:hAnsi="Times New Roman" w:eastAsia="仿宋"/>
                <w:color w:val="auto"/>
                <w:sz w:val="24"/>
                <w:szCs w:val="24"/>
              </w:rPr>
              <w:t>短期（3个月内）</w:t>
            </w:r>
          </w:p>
        </w:tc>
        <w:tc>
          <w:tcPr>
            <w:tcW w:w="6399" w:type="dxa"/>
            <w:vAlign w:val="center"/>
          </w:tcPr>
          <w:p>
            <w:pPr>
              <w:pStyle w:val="27"/>
              <w:ind w:firstLine="0" w:firstLineChars="0"/>
              <w:rPr>
                <w:rFonts w:ascii="Times New Roman" w:hAnsi="Times New Roman" w:eastAsia="仿宋"/>
                <w:color w:val="auto"/>
                <w:sz w:val="24"/>
                <w:szCs w:val="24"/>
              </w:rPr>
            </w:pPr>
            <w:r>
              <w:rPr>
                <w:rFonts w:hint="eastAsia" w:ascii="Times New Roman" w:hAnsi="Times New Roman" w:eastAsia="仿宋"/>
                <w:color w:val="auto"/>
                <w:sz w:val="24"/>
                <w:szCs w:val="24"/>
              </w:rPr>
              <w:t>明确环境风险防控重点岗位的责任机构，落实到人，开展定期巡检和维护工作；做好防渗漏和防泄漏措施。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1963" w:type="dxa"/>
            <w:vAlign w:val="center"/>
          </w:tcPr>
          <w:p>
            <w:pPr>
              <w:pStyle w:val="27"/>
              <w:ind w:firstLine="0" w:firstLineChars="0"/>
              <w:rPr>
                <w:rFonts w:ascii="Times New Roman" w:hAnsi="Times New Roman" w:eastAsia="仿宋"/>
                <w:color w:val="auto"/>
                <w:sz w:val="24"/>
                <w:szCs w:val="24"/>
              </w:rPr>
            </w:pPr>
            <w:r>
              <w:rPr>
                <w:rFonts w:ascii="Times New Roman" w:hAnsi="Times New Roman" w:eastAsia="仿宋"/>
                <w:color w:val="auto"/>
                <w:sz w:val="24"/>
                <w:szCs w:val="24"/>
              </w:rPr>
              <w:t>中期（3-6个月）</w:t>
            </w:r>
          </w:p>
        </w:tc>
        <w:tc>
          <w:tcPr>
            <w:tcW w:w="6399" w:type="dxa"/>
            <w:vAlign w:val="center"/>
          </w:tcPr>
          <w:p>
            <w:pPr>
              <w:pStyle w:val="27"/>
              <w:ind w:firstLine="0" w:firstLineChars="0"/>
              <w:rPr>
                <w:rFonts w:ascii="Times New Roman" w:hAnsi="Times New Roman" w:eastAsia="仿宋"/>
                <w:color w:val="auto"/>
                <w:sz w:val="24"/>
                <w:szCs w:val="24"/>
              </w:rPr>
            </w:pPr>
            <w:r>
              <w:rPr>
                <w:rFonts w:hint="eastAsia" w:ascii="Times New Roman" w:hAnsi="Times New Roman" w:eastAsia="仿宋"/>
                <w:color w:val="auto"/>
                <w:sz w:val="24"/>
                <w:szCs w:val="24"/>
              </w:rPr>
              <w:t>完善环保及安全设施</w:t>
            </w:r>
            <w:r>
              <w:rPr>
                <w:rFonts w:hint="eastAsia" w:ascii="Times New Roman" w:hAnsi="Times New Roman" w:eastAsia="仿宋"/>
                <w:color w:val="auto"/>
                <w:sz w:val="24"/>
                <w:szCs w:val="24"/>
                <w:lang w:eastAsia="zh-CN"/>
              </w:rPr>
              <w:t>，</w:t>
            </w:r>
            <w:r>
              <w:rPr>
                <w:rFonts w:hint="eastAsia" w:ascii="Times New Roman" w:hAnsi="Times New Roman" w:eastAsia="仿宋"/>
                <w:color w:val="auto"/>
                <w:sz w:val="24"/>
                <w:szCs w:val="24"/>
              </w:rPr>
              <w:t>配备易损设备备用件。</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1963" w:type="dxa"/>
            <w:vAlign w:val="center"/>
          </w:tcPr>
          <w:p>
            <w:pPr>
              <w:pStyle w:val="27"/>
              <w:ind w:firstLine="0" w:firstLineChars="0"/>
              <w:rPr>
                <w:rFonts w:ascii="Times New Roman" w:hAnsi="Times New Roman" w:eastAsia="仿宋"/>
                <w:color w:val="auto"/>
                <w:sz w:val="24"/>
                <w:szCs w:val="24"/>
              </w:rPr>
            </w:pPr>
            <w:r>
              <w:rPr>
                <w:rFonts w:ascii="Times New Roman" w:hAnsi="Times New Roman" w:eastAsia="仿宋"/>
                <w:color w:val="auto"/>
                <w:sz w:val="24"/>
                <w:szCs w:val="24"/>
              </w:rPr>
              <w:t>长期（6个月以上）</w:t>
            </w:r>
          </w:p>
        </w:tc>
        <w:tc>
          <w:tcPr>
            <w:tcW w:w="6399" w:type="dxa"/>
            <w:vAlign w:val="center"/>
          </w:tcPr>
          <w:p>
            <w:pPr>
              <w:pStyle w:val="27"/>
              <w:ind w:firstLine="0" w:firstLineChars="0"/>
              <w:rPr>
                <w:rFonts w:ascii="Times New Roman" w:hAnsi="Times New Roman" w:eastAsia="仿宋"/>
                <w:color w:val="auto"/>
                <w:sz w:val="24"/>
                <w:szCs w:val="24"/>
              </w:rPr>
            </w:pPr>
            <w:r>
              <w:rPr>
                <w:rFonts w:hint="eastAsia" w:ascii="Times New Roman" w:hAnsi="Times New Roman" w:eastAsia="仿宋"/>
                <w:color w:val="auto"/>
                <w:sz w:val="24"/>
                <w:szCs w:val="24"/>
              </w:rPr>
              <w:t>定期开展安全动员大会和定期组织员工进行专题培训，形式有内部专家培训讲座及外部培训班等；</w:t>
            </w:r>
          </w:p>
        </w:tc>
      </w:tr>
    </w:tbl>
    <w:p>
      <w:pPr>
        <w:spacing w:line="360" w:lineRule="auto"/>
        <w:ind w:firstLine="560" w:firstLineChars="200"/>
        <w:rPr>
          <w:rFonts w:hint="default" w:ascii="Times New Roman" w:hAnsi="Times New Roman" w:eastAsia="仿宋" w:cs="Times New Roman"/>
          <w:color w:val="auto"/>
          <w:sz w:val="28"/>
          <w:szCs w:val="28"/>
        </w:rPr>
      </w:pPr>
    </w:p>
    <w:p>
      <w:pPr>
        <w:ind w:left="0" w:leftChars="0" w:firstLine="0" w:firstLineChars="0"/>
        <w:rPr>
          <w:rFonts w:hint="eastAsia"/>
          <w:color w:val="auto"/>
          <w:lang w:eastAsia="zh-CN"/>
        </w:rPr>
      </w:pPr>
    </w:p>
    <w:p>
      <w:pPr>
        <w:bidi w:val="0"/>
        <w:rPr>
          <w:rFonts w:hint="eastAsia" w:ascii="+西文正文" w:hAnsi="+西文正文" w:eastAsia="+中文正文" w:cstheme="minorBidi"/>
          <w:color w:val="auto"/>
          <w:kern w:val="2"/>
          <w:sz w:val="21"/>
          <w:szCs w:val="24"/>
          <w:lang w:val="en-US" w:eastAsia="zh-CN" w:bidi="ar-SA"/>
        </w:rPr>
      </w:pPr>
    </w:p>
    <w:p>
      <w:pPr>
        <w:bidi w:val="0"/>
        <w:rPr>
          <w:rFonts w:hint="eastAsia"/>
          <w:color w:val="auto"/>
          <w:lang w:val="en-US" w:eastAsia="zh-CN"/>
        </w:rPr>
      </w:pPr>
    </w:p>
    <w:p>
      <w:pPr>
        <w:bidi w:val="0"/>
        <w:rPr>
          <w:rFonts w:hint="eastAsia"/>
          <w:color w:val="auto"/>
          <w:lang w:val="en-US" w:eastAsia="zh-CN"/>
        </w:rPr>
      </w:pPr>
    </w:p>
    <w:p>
      <w:pPr>
        <w:bidi w:val="0"/>
        <w:rPr>
          <w:rFonts w:hint="eastAsia"/>
          <w:color w:val="auto"/>
          <w:lang w:val="en-US" w:eastAsia="zh-CN"/>
        </w:rPr>
      </w:pPr>
    </w:p>
    <w:p>
      <w:pPr>
        <w:bidi w:val="0"/>
        <w:rPr>
          <w:rFonts w:hint="eastAsia"/>
          <w:color w:val="auto"/>
          <w:lang w:val="en-US" w:eastAsia="zh-CN"/>
        </w:rPr>
      </w:pPr>
    </w:p>
    <w:p>
      <w:pPr>
        <w:bidi w:val="0"/>
        <w:rPr>
          <w:rFonts w:hint="eastAsia"/>
          <w:color w:val="auto"/>
          <w:lang w:val="en-US" w:eastAsia="zh-CN"/>
        </w:rPr>
      </w:pPr>
    </w:p>
    <w:p>
      <w:pPr>
        <w:bidi w:val="0"/>
        <w:rPr>
          <w:rFonts w:hint="eastAsia"/>
          <w:color w:val="auto"/>
          <w:lang w:val="en-US" w:eastAsia="zh-CN"/>
        </w:rPr>
      </w:pPr>
    </w:p>
    <w:p>
      <w:pPr>
        <w:bidi w:val="0"/>
        <w:rPr>
          <w:rFonts w:hint="eastAsia"/>
          <w:color w:val="auto"/>
          <w:lang w:val="en-US" w:eastAsia="zh-CN"/>
        </w:rPr>
      </w:pPr>
    </w:p>
    <w:p>
      <w:pPr>
        <w:bidi w:val="0"/>
        <w:rPr>
          <w:rFonts w:hint="eastAsia"/>
          <w:color w:val="auto"/>
          <w:lang w:val="en-US" w:eastAsia="zh-CN"/>
        </w:rPr>
      </w:pPr>
    </w:p>
    <w:p>
      <w:pPr>
        <w:tabs>
          <w:tab w:val="left" w:pos="321"/>
        </w:tabs>
        <w:bidi w:val="0"/>
        <w:jc w:val="left"/>
        <w:rPr>
          <w:rFonts w:hint="eastAsia"/>
          <w:color w:val="auto"/>
          <w:lang w:val="en-US" w:eastAsia="zh-CN"/>
        </w:rPr>
      </w:pPr>
      <w:r>
        <w:rPr>
          <w:rFonts w:hint="eastAsia"/>
          <w:color w:val="auto"/>
          <w:lang w:val="en-US" w:eastAsia="zh-CN"/>
        </w:rPr>
        <w:tab/>
      </w: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textAlignment w:val="auto"/>
        <w:outlineLvl w:val="9"/>
        <w:rPr>
          <w:rFonts w:hint="default" w:ascii="Times New Roman" w:hAnsi="Times New Roman" w:eastAsia="仿宋" w:cs="Times New Roman"/>
          <w:color w:val="auto"/>
          <w:sz w:val="30"/>
          <w:szCs w:val="30"/>
          <w:highlight w:val="none"/>
          <w:lang w:val="en-US" w:eastAsia="zh-CN"/>
        </w:rPr>
      </w:pPr>
      <w:bookmarkStart w:id="494" w:name="_Toc15509"/>
      <w:bookmarkStart w:id="495" w:name="_Toc19650"/>
      <w:bookmarkStart w:id="496" w:name="_Toc14865"/>
      <w:bookmarkStart w:id="497" w:name="_Toc30589"/>
      <w:bookmarkStart w:id="498" w:name="_Toc20144"/>
      <w:bookmarkStart w:id="499" w:name="_Toc6596"/>
      <w:bookmarkStart w:id="500" w:name="_Toc17732490"/>
      <w:bookmarkStart w:id="501" w:name="_Toc2514_WPSOffice_Level1"/>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textAlignment w:val="auto"/>
        <w:outlineLvl w:val="9"/>
        <w:rPr>
          <w:rFonts w:hint="default" w:ascii="Times New Roman" w:hAnsi="Times New Roman" w:eastAsia="仿宋" w:cs="Times New Roman"/>
          <w:color w:val="auto"/>
          <w:sz w:val="30"/>
          <w:szCs w:val="30"/>
          <w:highlight w:val="none"/>
          <w:lang w:val="en-US" w:eastAsia="zh-CN"/>
        </w:rPr>
      </w:pP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textAlignment w:val="auto"/>
        <w:rPr>
          <w:rFonts w:hint="default" w:ascii="Times New Roman" w:hAnsi="Times New Roman" w:eastAsia="仿宋" w:cs="Times New Roman"/>
          <w:color w:val="auto"/>
          <w:sz w:val="30"/>
          <w:szCs w:val="30"/>
          <w:highlight w:val="none"/>
          <w:lang w:val="en-US" w:eastAsia="zh-CN"/>
        </w:rPr>
      </w:pP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textAlignment w:val="auto"/>
        <w:rPr>
          <w:rFonts w:hint="default" w:ascii="Times New Roman" w:hAnsi="Times New Roman" w:eastAsia="仿宋" w:cs="Times New Roman"/>
          <w:color w:val="auto"/>
          <w:sz w:val="30"/>
          <w:szCs w:val="30"/>
          <w:highlight w:val="none"/>
          <w:lang w:val="en-US" w:eastAsia="zh-CN"/>
        </w:rPr>
      </w:pP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textAlignment w:val="auto"/>
        <w:rPr>
          <w:rFonts w:hint="default" w:ascii="Times New Roman" w:hAnsi="Times New Roman" w:eastAsia="仿宋" w:cs="Times New Roman"/>
          <w:color w:val="auto"/>
          <w:sz w:val="30"/>
          <w:szCs w:val="30"/>
          <w:highlight w:val="none"/>
          <w:lang w:val="en-US" w:eastAsia="zh-CN"/>
        </w:rPr>
      </w:pP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textAlignment w:val="auto"/>
        <w:rPr>
          <w:rFonts w:hint="default" w:ascii="Times New Roman" w:hAnsi="Times New Roman" w:eastAsia="仿宋" w:cs="Times New Roman"/>
          <w:color w:val="auto"/>
          <w:sz w:val="30"/>
          <w:szCs w:val="30"/>
          <w:highlight w:val="none"/>
          <w:lang w:val="en-US" w:eastAsia="zh-CN"/>
        </w:rPr>
      </w:pP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textAlignment w:val="auto"/>
        <w:rPr>
          <w:rFonts w:hint="default" w:ascii="Times New Roman" w:hAnsi="Times New Roman" w:eastAsia="仿宋" w:cs="Times New Roman"/>
          <w:color w:val="auto"/>
          <w:sz w:val="30"/>
          <w:szCs w:val="30"/>
          <w:highlight w:val="yellow"/>
          <w:lang w:val="en-US" w:eastAsia="zh-CN"/>
        </w:rPr>
      </w:pPr>
      <w:bookmarkStart w:id="502" w:name="_Toc12440"/>
      <w:r>
        <w:rPr>
          <w:rFonts w:hint="default" w:ascii="Times New Roman" w:hAnsi="Times New Roman" w:eastAsia="仿宋" w:cs="Times New Roman"/>
          <w:color w:val="auto"/>
          <w:sz w:val="30"/>
          <w:szCs w:val="30"/>
          <w:highlight w:val="none"/>
          <w:lang w:val="en-US" w:eastAsia="zh-CN"/>
        </w:rPr>
        <w:t>6完善环境风险防控和应急措施实施计划</w:t>
      </w:r>
      <w:bookmarkEnd w:id="494"/>
      <w:bookmarkEnd w:id="495"/>
      <w:bookmarkEnd w:id="496"/>
      <w:bookmarkEnd w:id="497"/>
      <w:bookmarkEnd w:id="498"/>
      <w:bookmarkEnd w:id="499"/>
      <w:bookmarkEnd w:id="500"/>
      <w:bookmarkEnd w:id="501"/>
      <w:bookmarkEnd w:id="502"/>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4"/>
          <w:szCs w:val="28"/>
        </w:rPr>
      </w:pPr>
      <w:r>
        <w:rPr>
          <w:rFonts w:hint="default" w:ascii="Times New Roman" w:hAnsi="Times New Roman" w:eastAsia="仿宋" w:cs="Times New Roman"/>
          <w:color w:val="auto"/>
          <w:sz w:val="28"/>
          <w:szCs w:val="28"/>
        </w:rPr>
        <w:t>针对需要整改的项目，企业分别制定完善的风险防控和应急措施的实施计划，逐步完成整改措施，见下表。</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表6-1需要整改项目实施计划</w:t>
      </w:r>
    </w:p>
    <w:tbl>
      <w:tblPr>
        <w:tblStyle w:val="16"/>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
      <w:tblGrid>
        <w:gridCol w:w="446"/>
        <w:gridCol w:w="992"/>
        <w:gridCol w:w="1701"/>
        <w:gridCol w:w="4060"/>
        <w:gridCol w:w="113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454" w:hRule="atLeast"/>
          <w:jc w:val="center"/>
        </w:trPr>
        <w:tc>
          <w:tcPr>
            <w:tcW w:w="446"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bCs/>
                <w:color w:val="auto"/>
                <w:sz w:val="24"/>
                <w:szCs w:val="24"/>
                <w:lang w:val="en-US" w:eastAsia="zh-CN"/>
              </w:rPr>
            </w:pPr>
            <w:r>
              <w:rPr>
                <w:rFonts w:hint="default" w:eastAsia="仿宋" w:cs="Times New Roman"/>
                <w:b/>
                <w:bCs/>
                <w:color w:val="auto"/>
                <w:sz w:val="24"/>
                <w:szCs w:val="24"/>
                <w:lang w:val="en-US" w:eastAsia="zh-CN"/>
              </w:rPr>
              <w:t>序号</w:t>
            </w:r>
          </w:p>
        </w:tc>
        <w:tc>
          <w:tcPr>
            <w:tcW w:w="992"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bCs/>
                <w:color w:val="auto"/>
                <w:sz w:val="24"/>
                <w:szCs w:val="24"/>
                <w:lang w:val="en-US" w:eastAsia="zh-CN"/>
              </w:rPr>
            </w:pPr>
            <w:r>
              <w:rPr>
                <w:rFonts w:hint="default" w:eastAsia="仿宋" w:cs="Times New Roman"/>
                <w:b/>
                <w:bCs/>
                <w:color w:val="auto"/>
                <w:sz w:val="24"/>
                <w:szCs w:val="24"/>
                <w:lang w:val="en-US" w:eastAsia="zh-CN"/>
              </w:rPr>
              <w:t>紧急程度</w:t>
            </w:r>
          </w:p>
        </w:tc>
        <w:tc>
          <w:tcPr>
            <w:tcW w:w="1701"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bCs/>
                <w:color w:val="auto"/>
                <w:sz w:val="24"/>
                <w:szCs w:val="24"/>
                <w:lang w:val="en-US" w:eastAsia="zh-CN"/>
              </w:rPr>
            </w:pPr>
            <w:r>
              <w:rPr>
                <w:rFonts w:hint="default" w:eastAsia="仿宋" w:cs="Times New Roman"/>
                <w:b/>
                <w:bCs/>
                <w:color w:val="auto"/>
                <w:sz w:val="24"/>
                <w:szCs w:val="24"/>
                <w:lang w:val="en-US" w:eastAsia="zh-CN"/>
              </w:rPr>
              <w:t>完善项目</w:t>
            </w:r>
          </w:p>
        </w:tc>
        <w:tc>
          <w:tcPr>
            <w:tcW w:w="4060"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bCs/>
                <w:color w:val="auto"/>
                <w:sz w:val="24"/>
                <w:szCs w:val="24"/>
                <w:lang w:val="en-US" w:eastAsia="zh-CN"/>
              </w:rPr>
            </w:pPr>
            <w:r>
              <w:rPr>
                <w:rFonts w:hint="default" w:eastAsia="仿宋" w:cs="Times New Roman"/>
                <w:b/>
                <w:bCs/>
                <w:color w:val="auto"/>
                <w:sz w:val="24"/>
                <w:szCs w:val="24"/>
                <w:lang w:val="en-US" w:eastAsia="zh-CN"/>
              </w:rPr>
              <w:t>完善内容</w:t>
            </w:r>
          </w:p>
        </w:tc>
        <w:tc>
          <w:tcPr>
            <w:tcW w:w="1137"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b/>
                <w:bCs/>
                <w:color w:val="auto"/>
                <w:sz w:val="24"/>
                <w:szCs w:val="24"/>
                <w:lang w:val="en-US" w:eastAsia="zh-CN"/>
              </w:rPr>
            </w:pPr>
            <w:r>
              <w:rPr>
                <w:rFonts w:hint="default" w:eastAsia="仿宋" w:cs="Times New Roman"/>
                <w:b/>
                <w:bCs/>
                <w:color w:val="auto"/>
                <w:sz w:val="24"/>
                <w:szCs w:val="24"/>
                <w:lang w:val="en-US" w:eastAsia="zh-CN"/>
              </w:rPr>
              <w:t>完成时限</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454" w:hRule="atLeast"/>
          <w:jc w:val="center"/>
        </w:trPr>
        <w:tc>
          <w:tcPr>
            <w:tcW w:w="446"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1</w:t>
            </w:r>
          </w:p>
        </w:tc>
        <w:tc>
          <w:tcPr>
            <w:tcW w:w="992"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短期计划</w:t>
            </w:r>
          </w:p>
        </w:tc>
        <w:tc>
          <w:tcPr>
            <w:tcW w:w="1701"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风险管理制度</w:t>
            </w:r>
          </w:p>
        </w:tc>
        <w:tc>
          <w:tcPr>
            <w:tcW w:w="4060"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根据自身的情况制定一套环境风险管理制度，明确风险单元的管理要求</w:t>
            </w:r>
          </w:p>
        </w:tc>
        <w:tc>
          <w:tcPr>
            <w:tcW w:w="1137"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color w:val="auto"/>
                <w:sz w:val="24"/>
                <w:szCs w:val="24"/>
                <w:lang w:val="en-US" w:eastAsia="zh-CN"/>
              </w:rPr>
            </w:pPr>
            <w:r>
              <w:rPr>
                <w:rFonts w:hint="default" w:eastAsia="仿宋" w:cs="Times New Roman"/>
                <w:color w:val="auto"/>
                <w:sz w:val="24"/>
                <w:szCs w:val="24"/>
                <w:lang w:val="en-US" w:eastAsia="zh-CN"/>
              </w:rPr>
              <w:t>202</w:t>
            </w:r>
            <w:r>
              <w:rPr>
                <w:rFonts w:hint="eastAsia" w:eastAsia="仿宋" w:cs="Times New Roman"/>
                <w:color w:val="auto"/>
                <w:sz w:val="24"/>
                <w:szCs w:val="24"/>
                <w:lang w:val="en-US" w:eastAsia="zh-CN"/>
              </w:rPr>
              <w:t>2</w:t>
            </w:r>
            <w:r>
              <w:rPr>
                <w:rFonts w:hint="default" w:eastAsia="仿宋" w:cs="Times New Roman"/>
                <w:color w:val="auto"/>
                <w:sz w:val="24"/>
                <w:szCs w:val="24"/>
                <w:lang w:val="en-US" w:eastAsia="zh-CN"/>
              </w:rPr>
              <w:t>.</w:t>
            </w:r>
            <w:r>
              <w:rPr>
                <w:rFonts w:hint="eastAsia" w:eastAsia="仿宋" w:cs="Times New Roman"/>
                <w:color w:val="auto"/>
                <w:sz w:val="24"/>
                <w:szCs w:val="24"/>
                <w:lang w:val="en-US" w:eastAsia="zh-CN"/>
              </w:rPr>
              <w:t>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454" w:hRule="atLeast"/>
          <w:jc w:val="center"/>
        </w:trPr>
        <w:tc>
          <w:tcPr>
            <w:tcW w:w="446"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2</w:t>
            </w:r>
          </w:p>
        </w:tc>
        <w:tc>
          <w:tcPr>
            <w:tcW w:w="992" w:type="dxa"/>
            <w:vMerge w:val="restart"/>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中期计划</w:t>
            </w:r>
          </w:p>
        </w:tc>
        <w:tc>
          <w:tcPr>
            <w:tcW w:w="1701" w:type="dxa"/>
            <w:vMerge w:val="restart"/>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环境应急管理</w:t>
            </w:r>
          </w:p>
        </w:tc>
        <w:tc>
          <w:tcPr>
            <w:tcW w:w="4060"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完善应急体系</w:t>
            </w:r>
          </w:p>
        </w:tc>
        <w:tc>
          <w:tcPr>
            <w:tcW w:w="1137"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202</w:t>
            </w:r>
            <w:r>
              <w:rPr>
                <w:rFonts w:hint="eastAsia" w:eastAsia="仿宋" w:cs="Times New Roman"/>
                <w:color w:val="auto"/>
                <w:sz w:val="24"/>
                <w:szCs w:val="24"/>
                <w:lang w:val="en-US" w:eastAsia="zh-CN"/>
              </w:rPr>
              <w:t>2</w:t>
            </w:r>
            <w:r>
              <w:rPr>
                <w:rFonts w:hint="default" w:eastAsia="仿宋" w:cs="Times New Roman"/>
                <w:color w:val="auto"/>
                <w:sz w:val="24"/>
                <w:szCs w:val="24"/>
                <w:lang w:val="en-US" w:eastAsia="zh-CN"/>
              </w:rPr>
              <w:t>.</w:t>
            </w:r>
            <w:r>
              <w:rPr>
                <w:rFonts w:hint="eastAsia" w:eastAsia="仿宋" w:cs="Times New Roman"/>
                <w:color w:val="auto"/>
                <w:sz w:val="24"/>
                <w:szCs w:val="24"/>
                <w:lang w:val="en-US" w:eastAsia="zh-CN"/>
              </w:rPr>
              <w:t>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454" w:hRule="atLeast"/>
          <w:jc w:val="center"/>
        </w:trPr>
        <w:tc>
          <w:tcPr>
            <w:tcW w:w="446"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3</w:t>
            </w:r>
          </w:p>
        </w:tc>
        <w:tc>
          <w:tcPr>
            <w:tcW w:w="992" w:type="dxa"/>
            <w:vMerge w:val="continue"/>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p>
        </w:tc>
        <w:tc>
          <w:tcPr>
            <w:tcW w:w="1701" w:type="dxa"/>
            <w:vMerge w:val="continue"/>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p>
        </w:tc>
        <w:tc>
          <w:tcPr>
            <w:tcW w:w="4060"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完善各区域的应急物资布置</w:t>
            </w:r>
          </w:p>
        </w:tc>
        <w:tc>
          <w:tcPr>
            <w:tcW w:w="1137"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202</w:t>
            </w:r>
            <w:r>
              <w:rPr>
                <w:rFonts w:hint="eastAsia" w:eastAsia="仿宋" w:cs="Times New Roman"/>
                <w:color w:val="auto"/>
                <w:sz w:val="24"/>
                <w:szCs w:val="24"/>
                <w:lang w:val="en-US" w:eastAsia="zh-CN"/>
              </w:rPr>
              <w:t>2</w:t>
            </w:r>
            <w:r>
              <w:rPr>
                <w:rFonts w:hint="default" w:eastAsia="仿宋" w:cs="Times New Roman"/>
                <w:color w:val="auto"/>
                <w:sz w:val="24"/>
                <w:szCs w:val="24"/>
                <w:lang w:val="en-US" w:eastAsia="zh-CN"/>
              </w:rPr>
              <w:t>.</w:t>
            </w:r>
            <w:r>
              <w:rPr>
                <w:rFonts w:hint="eastAsia" w:eastAsia="仿宋" w:cs="Times New Roman"/>
                <w:color w:val="auto"/>
                <w:sz w:val="24"/>
                <w:szCs w:val="24"/>
                <w:lang w:val="en-US" w:eastAsia="zh-CN"/>
              </w:rPr>
              <w:t>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454" w:hRule="atLeast"/>
          <w:jc w:val="center"/>
        </w:trPr>
        <w:tc>
          <w:tcPr>
            <w:tcW w:w="446"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4</w:t>
            </w:r>
          </w:p>
        </w:tc>
        <w:tc>
          <w:tcPr>
            <w:tcW w:w="992" w:type="dxa"/>
            <w:vMerge w:val="restart"/>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长期计划</w:t>
            </w:r>
          </w:p>
        </w:tc>
        <w:tc>
          <w:tcPr>
            <w:tcW w:w="1701" w:type="dxa"/>
            <w:vMerge w:val="restart"/>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管理防控措施</w:t>
            </w:r>
          </w:p>
        </w:tc>
        <w:tc>
          <w:tcPr>
            <w:tcW w:w="4060"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加强风险单元的日常管理工作</w:t>
            </w:r>
          </w:p>
        </w:tc>
        <w:tc>
          <w:tcPr>
            <w:tcW w:w="1137"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常年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454" w:hRule="atLeast"/>
          <w:jc w:val="center"/>
        </w:trPr>
        <w:tc>
          <w:tcPr>
            <w:tcW w:w="446"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5</w:t>
            </w:r>
          </w:p>
        </w:tc>
        <w:tc>
          <w:tcPr>
            <w:tcW w:w="992" w:type="dxa"/>
            <w:vMerge w:val="continue"/>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p>
        </w:tc>
        <w:tc>
          <w:tcPr>
            <w:tcW w:w="1701" w:type="dxa"/>
            <w:vMerge w:val="continue"/>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p>
        </w:tc>
        <w:tc>
          <w:tcPr>
            <w:tcW w:w="4060"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保证各风险单元应急物资的合理性</w:t>
            </w:r>
          </w:p>
        </w:tc>
        <w:tc>
          <w:tcPr>
            <w:tcW w:w="1137"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常年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454" w:hRule="atLeast"/>
          <w:jc w:val="center"/>
        </w:trPr>
        <w:tc>
          <w:tcPr>
            <w:tcW w:w="446"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6</w:t>
            </w:r>
          </w:p>
        </w:tc>
        <w:tc>
          <w:tcPr>
            <w:tcW w:w="992" w:type="dxa"/>
            <w:vMerge w:val="continue"/>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p>
        </w:tc>
        <w:tc>
          <w:tcPr>
            <w:tcW w:w="1701" w:type="dxa"/>
            <w:vMerge w:val="continue"/>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p>
        </w:tc>
        <w:tc>
          <w:tcPr>
            <w:tcW w:w="4060"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保证各防控设施的可用性</w:t>
            </w:r>
          </w:p>
        </w:tc>
        <w:tc>
          <w:tcPr>
            <w:tcW w:w="1137"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常年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454" w:hRule="atLeast"/>
          <w:jc w:val="center"/>
        </w:trPr>
        <w:tc>
          <w:tcPr>
            <w:tcW w:w="446"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s="Times New Roman"/>
                <w:color w:val="auto"/>
                <w:sz w:val="24"/>
                <w:szCs w:val="24"/>
                <w:lang w:val="en-US" w:eastAsia="zh-CN"/>
              </w:rPr>
            </w:pPr>
            <w:r>
              <w:rPr>
                <w:rFonts w:hint="eastAsia" w:eastAsia="仿宋" w:cs="Times New Roman"/>
                <w:color w:val="auto"/>
                <w:sz w:val="24"/>
                <w:szCs w:val="24"/>
                <w:lang w:val="en-US" w:eastAsia="zh-CN"/>
              </w:rPr>
              <w:t>7</w:t>
            </w:r>
          </w:p>
        </w:tc>
        <w:tc>
          <w:tcPr>
            <w:tcW w:w="992" w:type="dxa"/>
            <w:vMerge w:val="continue"/>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p>
        </w:tc>
        <w:tc>
          <w:tcPr>
            <w:tcW w:w="1701" w:type="dxa"/>
            <w:vMerge w:val="continue"/>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p>
        </w:tc>
        <w:tc>
          <w:tcPr>
            <w:tcW w:w="4060"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定期对员工进行培训并定期开展应急演练</w:t>
            </w:r>
          </w:p>
        </w:tc>
        <w:tc>
          <w:tcPr>
            <w:tcW w:w="1137" w:type="dxa"/>
            <w:noWrap w:val="0"/>
            <w:vAlign w:val="center"/>
          </w:tcPr>
          <w:p>
            <w:pPr>
              <w:pStyle w:val="28"/>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default" w:eastAsia="仿宋" w:cs="Times New Roman"/>
                <w:color w:val="auto"/>
                <w:sz w:val="24"/>
                <w:szCs w:val="24"/>
                <w:lang w:val="en-US" w:eastAsia="zh-CN"/>
              </w:rPr>
            </w:pPr>
            <w:r>
              <w:rPr>
                <w:rFonts w:hint="default" w:eastAsia="仿宋" w:cs="Times New Roman"/>
                <w:color w:val="auto"/>
                <w:sz w:val="24"/>
                <w:szCs w:val="24"/>
                <w:lang w:val="en-US" w:eastAsia="zh-CN"/>
              </w:rPr>
              <w:t>常年</w:t>
            </w:r>
          </w:p>
        </w:tc>
      </w:tr>
    </w:tbl>
    <w:p>
      <w:pPr>
        <w:spacing w:line="360" w:lineRule="auto"/>
        <w:ind w:firstLine="560" w:firstLineChars="200"/>
        <w:rPr>
          <w:rFonts w:hint="default" w:ascii="Times New Roman" w:hAnsi="Times New Roman" w:eastAsia="仿宋" w:cs="Times New Roman"/>
          <w:color w:val="auto"/>
          <w:sz w:val="28"/>
          <w:szCs w:val="28"/>
        </w:rPr>
      </w:pPr>
    </w:p>
    <w:p>
      <w:pPr>
        <w:spacing w:line="360" w:lineRule="auto"/>
        <w:ind w:firstLine="560" w:firstLineChars="200"/>
        <w:rPr>
          <w:rFonts w:hint="default" w:ascii="Times New Roman" w:hAnsi="Times New Roman" w:eastAsia="仿宋" w:cs="Times New Roman"/>
          <w:color w:val="auto"/>
          <w:sz w:val="28"/>
          <w:szCs w:val="28"/>
        </w:rPr>
      </w:pP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textAlignment w:val="auto"/>
        <w:rPr>
          <w:rFonts w:hint="default" w:ascii="Times New Roman" w:hAnsi="Times New Roman" w:eastAsia="仿宋" w:cs="Times New Roman"/>
          <w:color w:val="auto"/>
        </w:rPr>
      </w:pPr>
      <w:bookmarkStart w:id="503" w:name="_Toc524645561"/>
      <w:bookmarkStart w:id="504" w:name="_Toc24103_WPSOffice_Level1"/>
      <w:bookmarkStart w:id="505" w:name="_Toc8138_WPSOffice_Level1"/>
      <w:bookmarkStart w:id="506" w:name="_Toc18285_WPSOffice_Level1"/>
      <w:bookmarkStart w:id="507" w:name="_Toc22208"/>
      <w:r>
        <w:rPr>
          <w:rFonts w:hint="default" w:ascii="Times New Roman" w:hAnsi="Times New Roman" w:eastAsia="仿宋" w:cs="Times New Roman"/>
          <w:color w:val="auto"/>
        </w:rPr>
        <w:br w:type="page"/>
      </w:r>
      <w:bookmarkStart w:id="508" w:name="_Toc11990"/>
      <w:bookmarkStart w:id="509" w:name="_Toc15413"/>
      <w:bookmarkStart w:id="510" w:name="_Toc31119"/>
      <w:bookmarkStart w:id="511" w:name="_Toc30654"/>
      <w:bookmarkStart w:id="512" w:name="_Toc4807"/>
      <w:bookmarkStart w:id="513" w:name="_Toc2564"/>
      <w:bookmarkStart w:id="514" w:name="_Toc17732491"/>
      <w:bookmarkStart w:id="515" w:name="_Toc29285_WPSOffice_Level1"/>
      <w:bookmarkStart w:id="516" w:name="_Toc17064"/>
      <w:r>
        <w:rPr>
          <w:rFonts w:hint="default" w:ascii="Times New Roman" w:hAnsi="Times New Roman" w:eastAsia="仿宋" w:cs="Times New Roman"/>
          <w:color w:val="auto"/>
        </w:rPr>
        <w:t>7突发环境事件风险等级</w:t>
      </w:r>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p>
    <w:p>
      <w:pPr>
        <w:pStyle w:val="2"/>
        <w:outlineLvl w:val="0"/>
        <w:rPr>
          <w:rFonts w:hint="default" w:ascii="Times New Roman" w:hAnsi="Times New Roman" w:eastAsia="仿宋" w:cs="Times New Roman"/>
          <w:color w:val="auto"/>
        </w:rPr>
      </w:pPr>
      <w:bookmarkStart w:id="517" w:name="_Toc22509_WPSOffice_Level1"/>
      <w:bookmarkStart w:id="518" w:name="_Toc5180_WPSOffice_Level1"/>
      <w:bookmarkStart w:id="519" w:name="_Toc17213"/>
      <w:bookmarkStart w:id="520" w:name="_Toc17888_WPSOffice_Level1"/>
      <w:bookmarkStart w:id="521" w:name="_Toc2101"/>
      <w:bookmarkStart w:id="522" w:name="_Toc5520"/>
      <w:bookmarkStart w:id="523" w:name="_Toc9192"/>
      <w:bookmarkStart w:id="524" w:name="_Toc29885_WPSOffice_Level1"/>
      <w:bookmarkStart w:id="525" w:name="_Toc17732492"/>
      <w:bookmarkStart w:id="526" w:name="_Toc28691"/>
      <w:bookmarkStart w:id="527" w:name="_Toc16741"/>
      <w:bookmarkStart w:id="528" w:name="_Toc524645562"/>
      <w:bookmarkStart w:id="529" w:name="_Toc6313"/>
      <w:bookmarkStart w:id="530" w:name="_Toc24304"/>
      <w:bookmarkStart w:id="531" w:name="_Toc418685008"/>
      <w:r>
        <w:rPr>
          <w:rFonts w:hint="default" w:ascii="Times New Roman" w:hAnsi="Times New Roman" w:eastAsia="仿宋" w:cs="Times New Roman"/>
          <w:color w:val="auto"/>
        </w:rPr>
        <w:t>7.1分级程序</w:t>
      </w:r>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4"/>
          <w:szCs w:val="28"/>
        </w:rPr>
      </w:pPr>
      <w:r>
        <w:rPr>
          <w:rFonts w:hint="default" w:ascii="Times New Roman" w:hAnsi="Times New Roman" w:eastAsia="仿宋" w:cs="Times New Roman"/>
          <w:color w:val="auto"/>
          <w:sz w:val="28"/>
          <w:szCs w:val="28"/>
        </w:rPr>
        <w:t>根据《企业突发环境事件风险分级方法》（HJ</w:t>
      </w:r>
      <w:r>
        <w:rPr>
          <w:rFonts w:hint="default" w:ascii="Times New Roman" w:hAnsi="Times New Roman" w:eastAsia="仿宋" w:cs="Times New Roman"/>
          <w:color w:val="auto"/>
          <w:sz w:val="28"/>
          <w:szCs w:val="28"/>
          <w:lang w:val="en-US" w:eastAsia="zh-CN"/>
        </w:rPr>
        <w:t xml:space="preserve"> </w:t>
      </w:r>
      <w:r>
        <w:rPr>
          <w:rFonts w:hint="default" w:ascii="Times New Roman" w:hAnsi="Times New Roman" w:eastAsia="仿宋" w:cs="Times New Roman"/>
          <w:color w:val="auto"/>
          <w:sz w:val="28"/>
          <w:szCs w:val="28"/>
        </w:rPr>
        <w:t>941-2018），根据生产、使用、存储和释放的突发环境事件风险物质数量与其临界量的比值（Q），评估生产工艺过程与环境风险控制水平（M）以及环境风险受体敏感程度（E）的评估分析结果，分别评估企业突发大气环境事件风险和突发水环境事件风险，将突发大气或水环境事件风险等级划分为一般环境风险、较大环境风险和重大环境风险三级，分别用蓝色、黄色和红色标识。同时涉及突发大气和水环境事件风险的企业，以等级高者确定企业突发环境事件风险等级。突发环境事件风险等级划分流程见图7.1-1。</w:t>
      </w:r>
    </w:p>
    <w:p>
      <w:pPr>
        <w:spacing w:line="360" w:lineRule="auto"/>
        <w:ind w:firstLine="480" w:firstLineChars="200"/>
        <w:jc w:val="center"/>
        <w:rPr>
          <w:rFonts w:hint="default" w:ascii="Times New Roman" w:hAnsi="Times New Roman" w:eastAsia="仿宋" w:cs="Times New Roman"/>
          <w:b/>
          <w:color w:val="auto"/>
          <w:sz w:val="24"/>
        </w:rPr>
      </w:pPr>
      <w:r>
        <w:rPr>
          <w:rFonts w:hint="default" w:ascii="Times New Roman" w:hAnsi="Times New Roman" w:eastAsia="仿宋" w:cs="Times New Roman"/>
          <w:b/>
          <w:color w:val="auto"/>
          <w:sz w:val="24"/>
        </w:rPr>
        <w:object>
          <v:shape id="_x0000_i1025" o:spt="75" type="#_x0000_t75" style="height:208.1pt;width:312pt;" o:ole="t" filled="f" o:preferrelative="t" stroked="f" coordsize="21600,21600">
            <v:path/>
            <v:fill on="f" focussize="0,0"/>
            <v:stroke on="f"/>
            <v:imagedata r:id="rId12" o:title=""/>
            <o:lock v:ext="edit" aspectratio="t"/>
            <w10:wrap type="none"/>
            <w10:anchorlock/>
          </v:shape>
          <o:OLEObject Type="Embed" ProgID="Visio.Drawing.11" ShapeID="_x0000_i1025" DrawAspect="Content" ObjectID="_1468075725" r:id="rId11">
            <o:LockedField>false</o:LockedField>
          </o:OLEObject>
        </w:objec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图7.1-1  突发环境事件风险等级划分流程示意图</w:t>
      </w:r>
    </w:p>
    <w:p>
      <w:pPr>
        <w:pStyle w:val="2"/>
        <w:outlineLvl w:val="0"/>
        <w:rPr>
          <w:rFonts w:hint="default" w:ascii="Times New Roman" w:hAnsi="Times New Roman" w:eastAsia="仿宋" w:cs="Times New Roman"/>
          <w:color w:val="auto"/>
        </w:rPr>
      </w:pPr>
      <w:bookmarkStart w:id="532" w:name="_Toc28886"/>
      <w:bookmarkStart w:id="533" w:name="_Toc29833_WPSOffice_Level1"/>
      <w:bookmarkStart w:id="534" w:name="_Toc26425_WPSOffice_Level1"/>
      <w:bookmarkStart w:id="535" w:name="_Toc32662"/>
      <w:bookmarkStart w:id="536" w:name="_Toc4331_WPSOffice_Level1"/>
      <w:bookmarkStart w:id="537" w:name="_Toc5558"/>
      <w:bookmarkStart w:id="538" w:name="_Toc2373"/>
      <w:bookmarkStart w:id="539" w:name="_Toc17732493"/>
      <w:bookmarkStart w:id="540" w:name="_Toc23744_WPSOffice_Level1"/>
      <w:bookmarkStart w:id="541" w:name="_Toc26798"/>
      <w:bookmarkStart w:id="542" w:name="_Toc30860"/>
      <w:bookmarkStart w:id="543" w:name="_Toc24932"/>
      <w:bookmarkStart w:id="544" w:name="_Toc425360317"/>
      <w:bookmarkStart w:id="545" w:name="_Toc31872"/>
      <w:bookmarkStart w:id="546" w:name="_Toc18985"/>
      <w:bookmarkStart w:id="547" w:name="_Toc425361304"/>
      <w:r>
        <w:rPr>
          <w:rFonts w:hint="default" w:ascii="Times New Roman" w:hAnsi="Times New Roman" w:eastAsia="仿宋" w:cs="Times New Roman"/>
          <w:color w:val="auto"/>
        </w:rPr>
        <w:t>7.2风险物质识别</w:t>
      </w:r>
      <w:bookmarkEnd w:id="532"/>
      <w:bookmarkEnd w:id="533"/>
      <w:bookmarkEnd w:id="534"/>
      <w:bookmarkEnd w:id="535"/>
      <w:bookmarkEnd w:id="536"/>
      <w:bookmarkEnd w:id="537"/>
      <w:bookmarkEnd w:id="538"/>
      <w:bookmarkEnd w:id="539"/>
      <w:bookmarkEnd w:id="540"/>
      <w:bookmarkEnd w:id="541"/>
      <w:bookmarkEnd w:id="542"/>
      <w:bookmarkEnd w:id="543"/>
    </w:p>
    <w:p>
      <w:pPr>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风险识别见下表</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default" w:ascii="Times New Roman" w:hAnsi="Times New Roman" w:eastAsia="仿宋" w:cs="Times New Roman"/>
          <w:b/>
          <w:bCs/>
          <w:color w:val="auto"/>
          <w:sz w:val="24"/>
          <w:szCs w:val="24"/>
        </w:rPr>
      </w:pPr>
      <w:bookmarkStart w:id="548" w:name="_Toc13880"/>
      <w:bookmarkStart w:id="549" w:name="_Toc17732494"/>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default" w:ascii="Times New Roman" w:hAnsi="Times New Roman" w:eastAsia="仿宋" w:cs="Times New Roman"/>
          <w:b/>
          <w:bCs/>
          <w:color w:val="auto"/>
          <w:sz w:val="24"/>
          <w:szCs w:val="24"/>
        </w:rPr>
      </w:pP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center"/>
        <w:textAlignment w:val="auto"/>
        <w:rPr>
          <w:rFonts w:hint="default" w:ascii="Times New Roman" w:hAnsi="Times New Roman" w:eastAsia="仿宋" w:cs="Times New Roman"/>
          <w:b/>
          <w:bCs/>
          <w:color w:val="auto"/>
          <w:sz w:val="24"/>
          <w:szCs w:val="24"/>
          <w:highlight w:val="none"/>
        </w:rPr>
      </w:pPr>
      <w:r>
        <w:rPr>
          <w:rFonts w:hint="default" w:ascii="Times New Roman" w:hAnsi="Times New Roman" w:eastAsia="仿宋" w:cs="Times New Roman"/>
          <w:b/>
          <w:bCs/>
          <w:color w:val="auto"/>
          <w:sz w:val="24"/>
          <w:szCs w:val="24"/>
          <w:highlight w:val="none"/>
        </w:rPr>
        <w:t>表7.2-1 风险物质识别表</w:t>
      </w:r>
      <w:bookmarkEnd w:id="548"/>
      <w:bookmarkEnd w:id="549"/>
    </w:p>
    <w:tbl>
      <w:tblPr>
        <w:tblStyle w:val="16"/>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26"/>
        <w:gridCol w:w="2073"/>
        <w:gridCol w:w="1650"/>
        <w:gridCol w:w="1740"/>
        <w:gridCol w:w="233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26" w:type="pct"/>
            <w:noWrap w:val="0"/>
            <w:vAlign w:val="center"/>
          </w:tcPr>
          <w:p>
            <w:pPr>
              <w:jc w:val="center"/>
              <w:rPr>
                <w:rFonts w:hint="default" w:ascii="Times New Roman" w:hAnsi="Times New Roman" w:eastAsia="仿宋" w:cs="Times New Roman"/>
                <w:color w:val="auto"/>
                <w:sz w:val="24"/>
                <w:szCs w:val="24"/>
                <w:highlight w:val="none"/>
              </w:rPr>
            </w:pPr>
            <w:bookmarkStart w:id="550" w:name="_Toc267"/>
            <w:bookmarkStart w:id="551" w:name="_Toc524645564"/>
            <w:bookmarkStart w:id="552" w:name="_Toc3318_WPSOffice_Level1"/>
            <w:bookmarkStart w:id="553" w:name="_Toc3620"/>
            <w:bookmarkStart w:id="554" w:name="_Toc337_WPSOffice_Level1"/>
            <w:bookmarkStart w:id="555" w:name="_Toc2230_WPSOffice_Level1"/>
            <w:bookmarkStart w:id="556" w:name="_Toc3527"/>
            <w:bookmarkStart w:id="557" w:name="_Toc1606"/>
            <w:bookmarkStart w:id="558" w:name="_Toc29983_WPSOffice_Level1"/>
            <w:bookmarkStart w:id="559" w:name="_Toc15293"/>
            <w:bookmarkStart w:id="560" w:name="_Toc17732495"/>
            <w:bookmarkStart w:id="561" w:name="_Toc15943"/>
            <w:bookmarkStart w:id="562" w:name="_Toc23998"/>
            <w:r>
              <w:rPr>
                <w:rFonts w:hint="default" w:ascii="Times New Roman" w:hAnsi="Times New Roman" w:eastAsia="仿宋" w:cs="Times New Roman"/>
                <w:color w:val="auto"/>
                <w:sz w:val="24"/>
                <w:szCs w:val="24"/>
                <w:highlight w:val="none"/>
              </w:rPr>
              <w:t>序号</w:t>
            </w:r>
          </w:p>
        </w:tc>
        <w:tc>
          <w:tcPr>
            <w:tcW w:w="1216"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物质名称</w:t>
            </w:r>
          </w:p>
        </w:tc>
        <w:tc>
          <w:tcPr>
            <w:tcW w:w="968"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最大存储量t</w:t>
            </w:r>
          </w:p>
        </w:tc>
        <w:tc>
          <w:tcPr>
            <w:tcW w:w="1021"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来源</w:t>
            </w:r>
          </w:p>
        </w:tc>
        <w:tc>
          <w:tcPr>
            <w:tcW w:w="1367"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储存方式及位置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426" w:type="pct"/>
            <w:noWrap w:val="0"/>
            <w:vAlign w:val="center"/>
          </w:tcPr>
          <w:p>
            <w:pPr>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w:t>
            </w:r>
          </w:p>
        </w:tc>
        <w:tc>
          <w:tcPr>
            <w:tcW w:w="1216" w:type="pct"/>
            <w:noWrap w:val="0"/>
            <w:vAlign w:val="center"/>
          </w:tcPr>
          <w:p>
            <w:pPr>
              <w:jc w:val="center"/>
              <w:rPr>
                <w:rFonts w:hint="default" w:ascii="Times New Roman" w:hAnsi="Times New Roman" w:eastAsia="仿宋" w:cs="Times New Roman"/>
                <w:color w:val="auto"/>
                <w:kern w:val="2"/>
                <w:sz w:val="24"/>
                <w:szCs w:val="24"/>
                <w:highlight w:val="none"/>
                <w:lang w:val="en-US" w:eastAsia="zh-CN" w:bidi="ar-SA"/>
              </w:rPr>
            </w:pPr>
            <w:r>
              <w:rPr>
                <w:rFonts w:hint="eastAsia" w:ascii="Times New Roman" w:hAnsi="Times New Roman" w:eastAsia="仿宋" w:cs="Times New Roman"/>
                <w:color w:val="auto"/>
                <w:kern w:val="2"/>
                <w:sz w:val="24"/>
                <w:szCs w:val="24"/>
                <w:highlight w:val="none"/>
                <w:lang w:val="en-US" w:eastAsia="zh-CN" w:bidi="ar-SA"/>
              </w:rPr>
              <w:t>丙烷</w:t>
            </w:r>
          </w:p>
        </w:tc>
        <w:tc>
          <w:tcPr>
            <w:tcW w:w="968" w:type="pct"/>
            <w:noWrap w:val="0"/>
            <w:vAlign w:val="center"/>
          </w:tcPr>
          <w:p>
            <w:pPr>
              <w:adjustRightInd w:val="0"/>
              <w:snapToGrid w:val="0"/>
              <w:jc w:val="center"/>
              <w:rPr>
                <w:rFonts w:hint="default" w:ascii="Times New Roman" w:hAnsi="Times New Roman" w:eastAsia="仿宋" w:cs="Times New Roman"/>
                <w:bCs/>
                <w:color w:val="auto"/>
                <w:kern w:val="2"/>
                <w:sz w:val="24"/>
                <w:szCs w:val="24"/>
                <w:highlight w:val="none"/>
                <w:lang w:val="en-US" w:eastAsia="zh-CN" w:bidi="ar-SA"/>
              </w:rPr>
            </w:pPr>
            <w:r>
              <w:rPr>
                <w:rFonts w:hint="eastAsia" w:ascii="Times New Roman" w:hAnsi="Times New Roman" w:eastAsia="仿宋" w:cs="Times New Roman"/>
                <w:bCs/>
                <w:color w:val="auto"/>
                <w:kern w:val="2"/>
                <w:sz w:val="24"/>
                <w:szCs w:val="24"/>
                <w:highlight w:val="none"/>
                <w:lang w:val="en-US" w:eastAsia="zh-CN" w:bidi="ar-SA"/>
              </w:rPr>
              <w:t>1.05</w:t>
            </w:r>
          </w:p>
        </w:tc>
        <w:tc>
          <w:tcPr>
            <w:tcW w:w="1021" w:type="pct"/>
            <w:noWrap w:val="0"/>
            <w:vAlign w:val="center"/>
          </w:tcPr>
          <w:p>
            <w:pPr>
              <w:jc w:val="center"/>
              <w:rPr>
                <w:rFonts w:hint="default" w:ascii="仿宋" w:hAnsi="仿宋" w:eastAsia="仿宋" w:cs="仿宋"/>
                <w:color w:val="auto"/>
                <w:kern w:val="2"/>
                <w:sz w:val="24"/>
                <w:szCs w:val="24"/>
                <w:highlight w:val="none"/>
                <w:lang w:val="en-US" w:eastAsia="zh-CN" w:bidi="ar-SA"/>
              </w:rPr>
            </w:pPr>
            <w:r>
              <w:rPr>
                <w:rFonts w:hint="eastAsia" w:ascii="Times New Roman" w:hAnsi="Times New Roman" w:eastAsia="仿宋" w:cs="Times New Roman"/>
                <w:color w:val="auto"/>
                <w:sz w:val="24"/>
                <w:szCs w:val="24"/>
                <w:highlight w:val="none"/>
                <w:lang w:val="en-US" w:eastAsia="zh-CN"/>
              </w:rPr>
              <w:t>外购</w:t>
            </w:r>
          </w:p>
        </w:tc>
        <w:tc>
          <w:tcPr>
            <w:tcW w:w="1367" w:type="pct"/>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单独专用库房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426" w:type="pct"/>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c>
          <w:tcPr>
            <w:tcW w:w="1216" w:type="pct"/>
            <w:noWrap w:val="0"/>
            <w:vAlign w:val="center"/>
          </w:tcPr>
          <w:p>
            <w:pPr>
              <w:jc w:val="center"/>
              <w:rPr>
                <w:rFonts w:hint="eastAsia" w:ascii="Times New Roman" w:hAnsi="Times New Roman" w:eastAsia="仿宋" w:cs="Times New Roman"/>
                <w:color w:val="auto"/>
                <w:kern w:val="2"/>
                <w:sz w:val="24"/>
                <w:szCs w:val="24"/>
                <w:highlight w:val="none"/>
                <w:lang w:val="en-US" w:eastAsia="zh-CN" w:bidi="ar-SA"/>
              </w:rPr>
            </w:pPr>
            <w:r>
              <w:rPr>
                <w:rFonts w:hint="eastAsia" w:ascii="Times New Roman" w:hAnsi="Times New Roman" w:eastAsia="仿宋" w:cs="Times New Roman"/>
                <w:color w:val="auto"/>
                <w:kern w:val="2"/>
                <w:sz w:val="24"/>
                <w:szCs w:val="24"/>
                <w:highlight w:val="none"/>
                <w:lang w:val="en-US" w:eastAsia="zh-CN" w:bidi="ar-SA"/>
              </w:rPr>
              <w:t>废机油、废润滑油、废乳化液</w:t>
            </w:r>
          </w:p>
        </w:tc>
        <w:tc>
          <w:tcPr>
            <w:tcW w:w="968" w:type="pct"/>
            <w:noWrap w:val="0"/>
            <w:vAlign w:val="center"/>
          </w:tcPr>
          <w:p>
            <w:pPr>
              <w:adjustRightInd w:val="0"/>
              <w:snapToGrid w:val="0"/>
              <w:jc w:val="center"/>
              <w:rPr>
                <w:rFonts w:hint="eastAsia" w:ascii="Times New Roman" w:hAnsi="Times New Roman" w:eastAsia="仿宋" w:cs="Times New Roman"/>
                <w:bCs/>
                <w:color w:val="auto"/>
                <w:kern w:val="2"/>
                <w:sz w:val="24"/>
                <w:szCs w:val="24"/>
                <w:highlight w:val="none"/>
                <w:lang w:val="en-US" w:eastAsia="zh-CN" w:bidi="ar-SA"/>
              </w:rPr>
            </w:pPr>
            <w:r>
              <w:rPr>
                <w:rFonts w:hint="eastAsia" w:ascii="Times New Roman" w:hAnsi="Times New Roman" w:eastAsia="仿宋" w:cs="Times New Roman"/>
                <w:bCs/>
                <w:color w:val="auto"/>
                <w:kern w:val="2"/>
                <w:sz w:val="24"/>
                <w:szCs w:val="24"/>
                <w:highlight w:val="none"/>
                <w:lang w:val="en-US" w:eastAsia="zh-CN" w:bidi="ar-SA"/>
              </w:rPr>
              <w:t>0.75</w:t>
            </w:r>
          </w:p>
        </w:tc>
        <w:tc>
          <w:tcPr>
            <w:tcW w:w="1021" w:type="pct"/>
            <w:noWrap w:val="0"/>
            <w:vAlign w:val="center"/>
          </w:tcPr>
          <w:p>
            <w:pPr>
              <w:jc w:val="center"/>
              <w:rPr>
                <w:rFonts w:hint="eastAsia" w:ascii="仿宋" w:hAnsi="仿宋" w:eastAsia="仿宋" w:cs="仿宋"/>
                <w:color w:val="auto"/>
                <w:kern w:val="2"/>
                <w:sz w:val="24"/>
                <w:szCs w:val="24"/>
                <w:highlight w:val="none"/>
                <w:lang w:val="en-US" w:eastAsia="zh-CN" w:bidi="ar-SA"/>
              </w:rPr>
            </w:pPr>
            <w:r>
              <w:rPr>
                <w:rFonts w:hint="eastAsia" w:ascii="Times New Roman" w:hAnsi="Times New Roman" w:eastAsia="仿宋" w:cs="Times New Roman"/>
                <w:color w:val="auto"/>
                <w:sz w:val="24"/>
                <w:szCs w:val="24"/>
                <w:highlight w:val="none"/>
                <w:lang w:val="en-US" w:eastAsia="zh-CN"/>
              </w:rPr>
              <w:t>设备维护检修</w:t>
            </w:r>
          </w:p>
        </w:tc>
        <w:tc>
          <w:tcPr>
            <w:tcW w:w="1367" w:type="pct"/>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危废暂存间</w:t>
            </w:r>
          </w:p>
        </w:tc>
      </w:tr>
    </w:tbl>
    <w:p>
      <w:pPr>
        <w:pStyle w:val="2"/>
        <w:keepNext/>
        <w:keepLines/>
        <w:pageBreakBefore w:val="0"/>
        <w:widowControl w:val="0"/>
        <w:kinsoku/>
        <w:wordWrap/>
        <w:overflowPunct/>
        <w:topLinePunct w:val="0"/>
        <w:autoSpaceDE/>
        <w:autoSpaceDN/>
        <w:bidi w:val="0"/>
        <w:adjustRightInd w:val="0"/>
        <w:snapToGrid w:val="0"/>
        <w:spacing w:before="157" w:beforeLines="50"/>
        <w:textAlignment w:val="auto"/>
        <w:outlineLvl w:val="0"/>
        <w:rPr>
          <w:rFonts w:hint="default" w:ascii="Times New Roman" w:hAnsi="Times New Roman" w:eastAsia="仿宋" w:cs="Times New Roman"/>
          <w:color w:val="auto"/>
        </w:rPr>
      </w:pPr>
      <w:bookmarkStart w:id="563" w:name="_Toc6829"/>
      <w:r>
        <w:rPr>
          <w:rFonts w:hint="default" w:ascii="Times New Roman" w:hAnsi="Times New Roman" w:eastAsia="仿宋" w:cs="Times New Roman"/>
          <w:color w:val="auto"/>
        </w:rPr>
        <w:t>7.3突发大气环境事件风险分级</w:t>
      </w:r>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pPr>
        <w:keepNext w:val="0"/>
        <w:keepLines w:val="0"/>
        <w:pageBreakBefore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b/>
          <w:bCs/>
          <w:color w:val="auto"/>
          <w:sz w:val="28"/>
          <w:szCs w:val="28"/>
        </w:rPr>
      </w:pPr>
      <w:bookmarkStart w:id="564" w:name="_Toc24923_WPSOffice_Level2"/>
      <w:bookmarkStart w:id="565" w:name="_Toc28122_WPSOffice_Level2"/>
      <w:r>
        <w:rPr>
          <w:rFonts w:hint="default" w:ascii="Times New Roman" w:hAnsi="Times New Roman" w:eastAsia="仿宋" w:cs="Times New Roman"/>
          <w:b/>
          <w:bCs/>
          <w:color w:val="auto"/>
          <w:sz w:val="28"/>
          <w:szCs w:val="28"/>
        </w:rPr>
        <w:t>7.3.1</w:t>
      </w:r>
      <w:bookmarkEnd w:id="564"/>
      <w:bookmarkEnd w:id="565"/>
      <w:r>
        <w:rPr>
          <w:rFonts w:hint="default" w:ascii="Times New Roman" w:hAnsi="Times New Roman" w:eastAsia="仿宋" w:cs="Times New Roman"/>
          <w:b/>
          <w:bCs/>
          <w:color w:val="auto"/>
          <w:sz w:val="28"/>
          <w:szCs w:val="28"/>
        </w:rPr>
        <w:t>计算涉气风险物质数量与临界量比值（Q）</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bookmarkStart w:id="566" w:name="_Toc23753_WPSOffice_Level1"/>
      <w:bookmarkStart w:id="567" w:name="_Toc13600_WPSOffice_Level1"/>
      <w:r>
        <w:rPr>
          <w:rFonts w:hint="default" w:ascii="Times New Roman" w:hAnsi="Times New Roman" w:eastAsia="仿宋" w:cs="Times New Roman"/>
          <w:color w:val="auto"/>
          <w:sz w:val="28"/>
          <w:szCs w:val="28"/>
        </w:rPr>
        <w:t>环境风险物质数量与临界量的比值按下式进行计算（Q）：</w:t>
      </w:r>
      <w:bookmarkEnd w:id="566"/>
      <w:bookmarkEnd w:id="567"/>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jc w:val="center"/>
        <w:textAlignment w:val="auto"/>
        <w:rPr>
          <w:rFonts w:hint="default" w:ascii="Times New Roman" w:hAnsi="Times New Roman" w:eastAsia="仿宋" w:cs="Times New Roman"/>
          <w:color w:val="auto"/>
          <w:position w:val="-12"/>
          <w:sz w:val="28"/>
          <w:szCs w:val="28"/>
        </w:rPr>
      </w:pPr>
      <w:r>
        <w:rPr>
          <w:rFonts w:hint="default" w:ascii="Times New Roman" w:hAnsi="Times New Roman" w:eastAsia="仿宋" w:cs="Times New Roman"/>
          <w:color w:val="auto"/>
          <w:position w:val="-30"/>
          <w:sz w:val="28"/>
          <w:szCs w:val="28"/>
        </w:rPr>
        <w:object>
          <v:shape id="_x0000_i1026" o:spt="75" type="#_x0000_t75" style="height:34pt;width:130pt;" o:ole="t" filled="f" o:preferrelative="t" stroked="f" coordsize="21600,21600">
            <v:path/>
            <v:fill on="f" focussize="0,0"/>
            <v:stroke on="f"/>
            <v:imagedata r:id="rId14" o:title=""/>
            <o:lock v:ext="edit" aspectratio="t"/>
            <w10:wrap type="none"/>
            <w10:anchorlock/>
          </v:shape>
          <o:OLEObject Type="Embed" ProgID="Equation.KSEE3" ShapeID="_x0000_i1026" DrawAspect="Content" ObjectID="_1468075726" r:id="rId13">
            <o:LockedField>false</o:LockedField>
          </o:OLEObject>
        </w:object>
      </w:r>
      <w:r>
        <w:rPr>
          <w:rFonts w:hint="default" w:ascii="Times New Roman" w:hAnsi="Times New Roman" w:eastAsia="仿宋" w:cs="Times New Roman"/>
          <w:color w:val="auto"/>
          <w:position w:val="-12"/>
          <w:sz w:val="28"/>
          <w:szCs w:val="28"/>
        </w:rPr>
        <w:t xml:space="preserve">              （1）</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bookmarkStart w:id="568" w:name="_Toc21429_WPSOffice_Level1"/>
      <w:bookmarkStart w:id="569" w:name="_Toc1297_WPSOffice_Level1"/>
      <w:r>
        <w:rPr>
          <w:rFonts w:hint="default" w:ascii="Times New Roman" w:hAnsi="Times New Roman" w:eastAsia="仿宋" w:cs="Times New Roman"/>
          <w:color w:val="auto"/>
          <w:sz w:val="28"/>
          <w:szCs w:val="28"/>
        </w:rPr>
        <w:t>w</w:t>
      </w:r>
      <w:r>
        <w:rPr>
          <w:rFonts w:hint="default" w:ascii="Times New Roman" w:hAnsi="Times New Roman" w:eastAsia="仿宋" w:cs="Times New Roman"/>
          <w:color w:val="auto"/>
          <w:sz w:val="28"/>
          <w:szCs w:val="28"/>
          <w:vertAlign w:val="subscript"/>
        </w:rPr>
        <w:t>1</w:t>
      </w:r>
      <w:r>
        <w:rPr>
          <w:rFonts w:hint="default" w:ascii="Times New Roman" w:hAnsi="Times New Roman" w:eastAsia="仿宋" w:cs="Times New Roman"/>
          <w:color w:val="auto"/>
          <w:sz w:val="28"/>
          <w:szCs w:val="28"/>
        </w:rPr>
        <w:t>，w</w:t>
      </w:r>
      <w:r>
        <w:rPr>
          <w:rFonts w:hint="default" w:ascii="Times New Roman" w:hAnsi="Times New Roman" w:eastAsia="仿宋" w:cs="Times New Roman"/>
          <w:color w:val="auto"/>
          <w:sz w:val="28"/>
          <w:szCs w:val="28"/>
          <w:vertAlign w:val="subscript"/>
        </w:rPr>
        <w:t>2</w:t>
      </w:r>
      <w:r>
        <w:rPr>
          <w:rFonts w:hint="default" w:ascii="Times New Roman" w:hAnsi="Times New Roman" w:eastAsia="仿宋" w:cs="Times New Roman"/>
          <w:color w:val="auto"/>
          <w:sz w:val="28"/>
          <w:szCs w:val="28"/>
        </w:rPr>
        <w:t>，...，w</w:t>
      </w:r>
      <w:r>
        <w:rPr>
          <w:rFonts w:hint="default" w:ascii="Times New Roman" w:hAnsi="Times New Roman" w:eastAsia="仿宋" w:cs="Times New Roman"/>
          <w:color w:val="auto"/>
          <w:sz w:val="28"/>
          <w:szCs w:val="28"/>
          <w:vertAlign w:val="subscript"/>
        </w:rPr>
        <w:t>n</w:t>
      </w:r>
      <w:r>
        <w:rPr>
          <w:rFonts w:hint="default" w:ascii="Times New Roman" w:hAnsi="Times New Roman" w:eastAsia="仿宋" w:cs="Times New Roman"/>
          <w:color w:val="auto"/>
          <w:sz w:val="28"/>
          <w:szCs w:val="28"/>
        </w:rPr>
        <w:t>——每种风险物质的存在量，t；</w:t>
      </w:r>
      <w:bookmarkEnd w:id="568"/>
      <w:bookmarkEnd w:id="569"/>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bookmarkStart w:id="570" w:name="_Toc18906_WPSOffice_Level1"/>
      <w:bookmarkStart w:id="571" w:name="_Toc11788_WPSOffice_Level1"/>
      <w:r>
        <w:rPr>
          <w:rFonts w:hint="default" w:ascii="Times New Roman" w:hAnsi="Times New Roman" w:eastAsia="仿宋" w:cs="Times New Roman"/>
          <w:color w:val="auto"/>
          <w:sz w:val="28"/>
          <w:szCs w:val="28"/>
        </w:rPr>
        <w:t>W</w:t>
      </w:r>
      <w:r>
        <w:rPr>
          <w:rFonts w:hint="default" w:ascii="Times New Roman" w:hAnsi="Times New Roman" w:eastAsia="仿宋" w:cs="Times New Roman"/>
          <w:color w:val="auto"/>
          <w:sz w:val="28"/>
          <w:szCs w:val="28"/>
          <w:vertAlign w:val="subscript"/>
        </w:rPr>
        <w:t>1</w:t>
      </w:r>
      <w:r>
        <w:rPr>
          <w:rFonts w:hint="default" w:ascii="Times New Roman" w:hAnsi="Times New Roman" w:eastAsia="仿宋" w:cs="Times New Roman"/>
          <w:color w:val="auto"/>
          <w:sz w:val="28"/>
          <w:szCs w:val="28"/>
        </w:rPr>
        <w:t>，W</w:t>
      </w:r>
      <w:r>
        <w:rPr>
          <w:rFonts w:hint="default" w:ascii="Times New Roman" w:hAnsi="Times New Roman" w:eastAsia="仿宋" w:cs="Times New Roman"/>
          <w:color w:val="auto"/>
          <w:sz w:val="28"/>
          <w:szCs w:val="28"/>
          <w:vertAlign w:val="subscript"/>
        </w:rPr>
        <w:t>2</w:t>
      </w:r>
      <w:r>
        <w:rPr>
          <w:rFonts w:hint="default" w:ascii="Times New Roman" w:hAnsi="Times New Roman" w:eastAsia="仿宋" w:cs="Times New Roman"/>
          <w:color w:val="auto"/>
          <w:sz w:val="28"/>
          <w:szCs w:val="28"/>
        </w:rPr>
        <w:t>，...，W</w:t>
      </w:r>
      <w:r>
        <w:rPr>
          <w:rFonts w:hint="default" w:ascii="Times New Roman" w:hAnsi="Times New Roman" w:eastAsia="仿宋" w:cs="Times New Roman"/>
          <w:color w:val="auto"/>
          <w:sz w:val="28"/>
          <w:szCs w:val="28"/>
          <w:vertAlign w:val="subscript"/>
        </w:rPr>
        <w:t>n</w:t>
      </w:r>
      <w:r>
        <w:rPr>
          <w:rFonts w:hint="default" w:ascii="Times New Roman" w:hAnsi="Times New Roman" w:eastAsia="仿宋" w:cs="Times New Roman"/>
          <w:color w:val="auto"/>
          <w:sz w:val="28"/>
          <w:szCs w:val="28"/>
        </w:rPr>
        <w:t>——每种风险物质的临界量，t。</w:t>
      </w:r>
      <w:bookmarkEnd w:id="570"/>
      <w:bookmarkEnd w:id="571"/>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按照数值大小，将Q划分为4个水平：</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bookmarkStart w:id="572" w:name="_Toc25760_WPSOffice_Level1"/>
      <w:bookmarkStart w:id="573" w:name="_Toc12379_WPSOffice_Level1"/>
      <w:r>
        <w:rPr>
          <w:rFonts w:hint="default" w:ascii="Times New Roman" w:hAnsi="Times New Roman" w:eastAsia="仿宋" w:cs="Times New Roman"/>
          <w:color w:val="auto"/>
          <w:sz w:val="28"/>
          <w:szCs w:val="28"/>
        </w:rPr>
        <w:t>（1）Q＜1，以Q</w:t>
      </w:r>
      <w:r>
        <w:rPr>
          <w:rFonts w:hint="default" w:ascii="Times New Roman" w:hAnsi="Times New Roman" w:eastAsia="仿宋" w:cs="Times New Roman"/>
          <w:color w:val="auto"/>
          <w:sz w:val="28"/>
          <w:szCs w:val="28"/>
          <w:vertAlign w:val="subscript"/>
        </w:rPr>
        <w:t>0</w:t>
      </w:r>
      <w:r>
        <w:rPr>
          <w:rFonts w:hint="default" w:ascii="Times New Roman" w:hAnsi="Times New Roman" w:eastAsia="仿宋" w:cs="Times New Roman"/>
          <w:color w:val="auto"/>
          <w:sz w:val="28"/>
          <w:szCs w:val="28"/>
        </w:rPr>
        <w:t>表示，直接评为一般环境风险等级；</w:t>
      </w:r>
      <w:bookmarkEnd w:id="572"/>
      <w:bookmarkEnd w:id="573"/>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bookmarkStart w:id="574" w:name="_Toc21753_WPSOffice_Level1"/>
      <w:bookmarkStart w:id="575" w:name="_Toc30853_WPSOffice_Level1"/>
      <w:r>
        <w:rPr>
          <w:rFonts w:hint="default" w:ascii="Times New Roman" w:hAnsi="Times New Roman" w:eastAsia="仿宋" w:cs="Times New Roman"/>
          <w:color w:val="auto"/>
          <w:sz w:val="28"/>
          <w:szCs w:val="28"/>
        </w:rPr>
        <w:t>（2）1≤Q＜10，以Q</w:t>
      </w:r>
      <w:r>
        <w:rPr>
          <w:rFonts w:hint="default" w:ascii="Times New Roman" w:hAnsi="Times New Roman" w:eastAsia="仿宋" w:cs="Times New Roman"/>
          <w:color w:val="auto"/>
          <w:sz w:val="28"/>
          <w:szCs w:val="28"/>
          <w:vertAlign w:val="subscript"/>
        </w:rPr>
        <w:t>1</w:t>
      </w:r>
      <w:r>
        <w:rPr>
          <w:rFonts w:hint="default" w:ascii="Times New Roman" w:hAnsi="Times New Roman" w:eastAsia="仿宋" w:cs="Times New Roman"/>
          <w:color w:val="auto"/>
          <w:sz w:val="28"/>
          <w:szCs w:val="28"/>
        </w:rPr>
        <w:t>表示；</w:t>
      </w:r>
      <w:bookmarkEnd w:id="574"/>
      <w:bookmarkEnd w:id="575"/>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bookmarkStart w:id="576" w:name="_Toc1518_WPSOffice_Level1"/>
      <w:bookmarkStart w:id="577" w:name="_Toc29031_WPSOffice_Level1"/>
      <w:r>
        <w:rPr>
          <w:rFonts w:hint="default" w:ascii="Times New Roman" w:hAnsi="Times New Roman" w:eastAsia="仿宋" w:cs="Times New Roman"/>
          <w:color w:val="auto"/>
          <w:sz w:val="28"/>
          <w:szCs w:val="28"/>
        </w:rPr>
        <w:t>（3）10≤Q＜100，以Q</w:t>
      </w:r>
      <w:r>
        <w:rPr>
          <w:rFonts w:hint="default" w:ascii="Times New Roman" w:hAnsi="Times New Roman" w:eastAsia="仿宋" w:cs="Times New Roman"/>
          <w:color w:val="auto"/>
          <w:sz w:val="28"/>
          <w:szCs w:val="28"/>
          <w:vertAlign w:val="subscript"/>
        </w:rPr>
        <w:t>2</w:t>
      </w:r>
      <w:r>
        <w:rPr>
          <w:rFonts w:hint="default" w:ascii="Times New Roman" w:hAnsi="Times New Roman" w:eastAsia="仿宋" w:cs="Times New Roman"/>
          <w:color w:val="auto"/>
          <w:sz w:val="28"/>
          <w:szCs w:val="28"/>
        </w:rPr>
        <w:t>表示；</w:t>
      </w:r>
      <w:bookmarkEnd w:id="576"/>
      <w:bookmarkEnd w:id="577"/>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bookmarkStart w:id="578" w:name="_Toc24848_WPSOffice_Level1"/>
      <w:bookmarkStart w:id="579" w:name="_Toc5827_WPSOffice_Level1"/>
      <w:r>
        <w:rPr>
          <w:rFonts w:hint="default" w:ascii="Times New Roman" w:hAnsi="Times New Roman" w:eastAsia="仿宋" w:cs="Times New Roman"/>
          <w:color w:val="auto"/>
          <w:sz w:val="28"/>
          <w:szCs w:val="28"/>
        </w:rPr>
        <w:t>（4）Q≥100，以Q</w:t>
      </w:r>
      <w:r>
        <w:rPr>
          <w:rFonts w:hint="default" w:ascii="Times New Roman" w:hAnsi="Times New Roman" w:eastAsia="仿宋" w:cs="Times New Roman"/>
          <w:color w:val="auto"/>
          <w:sz w:val="28"/>
          <w:szCs w:val="28"/>
          <w:vertAlign w:val="subscript"/>
        </w:rPr>
        <w:t>3</w:t>
      </w:r>
      <w:r>
        <w:rPr>
          <w:rFonts w:hint="default" w:ascii="Times New Roman" w:hAnsi="Times New Roman" w:eastAsia="仿宋" w:cs="Times New Roman"/>
          <w:color w:val="auto"/>
          <w:sz w:val="28"/>
          <w:szCs w:val="28"/>
        </w:rPr>
        <w:t>表示。</w:t>
      </w:r>
      <w:bookmarkEnd w:id="578"/>
      <w:bookmarkEnd w:id="579"/>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bCs/>
          <w:smallCaps w:val="0"/>
          <w:snapToGrid w:val="0"/>
          <w:color w:val="auto"/>
          <w:spacing w:val="0"/>
          <w:w w:val="100"/>
          <w:kern w:val="0"/>
          <w:sz w:val="28"/>
          <w:szCs w:val="28"/>
          <w:lang w:val="en-US" w:eastAsia="zh-CN" w:bidi="zh-CN"/>
        </w:rPr>
      </w:pPr>
      <w:r>
        <w:rPr>
          <w:rFonts w:hint="default" w:ascii="Times New Roman" w:hAnsi="Times New Roman" w:eastAsia="仿宋" w:cs="Times New Roman"/>
          <w:bCs/>
          <w:smallCaps w:val="0"/>
          <w:snapToGrid w:val="0"/>
          <w:color w:val="auto"/>
          <w:spacing w:val="0"/>
          <w:w w:val="100"/>
          <w:kern w:val="0"/>
          <w:sz w:val="28"/>
          <w:szCs w:val="28"/>
          <w:lang w:val="en-US" w:eastAsia="zh-CN" w:bidi="zh-CN"/>
        </w:rPr>
        <w:t>参照《企业突发环境事件风险分级方法》（HJ 941-2018）中的附录A，本企业涉气风险物质见表7.3-1。</w:t>
      </w:r>
    </w:p>
    <w:p>
      <w:pPr>
        <w:pStyle w:val="14"/>
        <w:keepNext w:val="0"/>
        <w:keepLines w:val="0"/>
        <w:pageBreakBefore w:val="0"/>
        <w:widowControl w:val="0"/>
        <w:tabs>
          <w:tab w:val="left" w:pos="709"/>
          <w:tab w:val="right" w:pos="1134"/>
          <w:tab w:val="right" w:leader="dot" w:pos="8640"/>
        </w:tabs>
        <w:kinsoku/>
        <w:wordWrap/>
        <w:overflowPunct/>
        <w:topLinePunct w:val="0"/>
        <w:autoSpaceDE/>
        <w:autoSpaceDN/>
        <w:bidi w:val="0"/>
        <w:adjustRightInd w:val="0"/>
        <w:snapToGrid w:val="0"/>
        <w:spacing w:after="0" w:line="360" w:lineRule="auto"/>
        <w:ind w:left="0" w:right="0" w:rightChars="0" w:firstLine="0" w:firstLineChars="0"/>
        <w:jc w:val="center"/>
        <w:textAlignment w:val="auto"/>
        <w:rPr>
          <w:rFonts w:hint="default" w:ascii="Times New Roman" w:hAnsi="Times New Roman" w:eastAsia="仿宋" w:cs="Times New Roman"/>
          <w:b/>
          <w:bCs w:val="0"/>
          <w:smallCaps w:val="0"/>
          <w:snapToGrid w:val="0"/>
          <w:color w:val="auto"/>
          <w:spacing w:val="0"/>
          <w:w w:val="100"/>
          <w:kern w:val="0"/>
          <w:sz w:val="24"/>
          <w:szCs w:val="24"/>
          <w:highlight w:val="none"/>
          <w:lang w:val="en-US" w:eastAsia="zh-CN" w:bidi="zh-CN"/>
        </w:rPr>
      </w:pPr>
      <w:r>
        <w:rPr>
          <w:rFonts w:hint="default" w:ascii="Times New Roman" w:hAnsi="Times New Roman" w:eastAsia="仿宋" w:cs="Times New Roman"/>
          <w:b/>
          <w:bCs w:val="0"/>
          <w:smallCaps w:val="0"/>
          <w:snapToGrid w:val="0"/>
          <w:color w:val="auto"/>
          <w:spacing w:val="0"/>
          <w:w w:val="100"/>
          <w:kern w:val="0"/>
          <w:sz w:val="24"/>
          <w:szCs w:val="24"/>
          <w:highlight w:val="none"/>
          <w:lang w:val="en-US" w:eastAsia="zh-CN" w:bidi="zh-CN"/>
        </w:rPr>
        <w:t>表7.3-1  涉气风险物质Q值表</w:t>
      </w:r>
    </w:p>
    <w:tbl>
      <w:tblPr>
        <w:tblStyle w:val="16"/>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317"/>
        <w:gridCol w:w="2024"/>
        <w:gridCol w:w="1501"/>
        <w:gridCol w:w="1414"/>
        <w:gridCol w:w="126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360"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bCs w:val="0"/>
                <w:color w:val="auto"/>
                <w:kern w:val="1"/>
                <w:sz w:val="24"/>
                <w:szCs w:val="24"/>
              </w:rPr>
            </w:pPr>
            <w:r>
              <w:rPr>
                <w:rFonts w:hint="default" w:ascii="Times New Roman" w:hAnsi="Times New Roman" w:eastAsia="仿宋" w:cs="Times New Roman"/>
                <w:b/>
                <w:bCs w:val="0"/>
                <w:color w:val="auto"/>
                <w:kern w:val="1"/>
                <w:sz w:val="24"/>
                <w:szCs w:val="24"/>
              </w:rPr>
              <w:t>类别</w:t>
            </w:r>
          </w:p>
        </w:tc>
        <w:tc>
          <w:tcPr>
            <w:tcW w:w="1188"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bCs w:val="0"/>
                <w:color w:val="auto"/>
                <w:kern w:val="1"/>
                <w:sz w:val="24"/>
                <w:szCs w:val="24"/>
              </w:rPr>
            </w:pPr>
            <w:r>
              <w:rPr>
                <w:rFonts w:hint="default" w:ascii="Times New Roman" w:hAnsi="Times New Roman" w:eastAsia="仿宋" w:cs="Times New Roman"/>
                <w:b/>
                <w:bCs w:val="0"/>
                <w:color w:val="auto"/>
                <w:kern w:val="1"/>
                <w:sz w:val="24"/>
                <w:szCs w:val="24"/>
              </w:rPr>
              <w:t>名称</w:t>
            </w:r>
          </w:p>
        </w:tc>
        <w:tc>
          <w:tcPr>
            <w:tcW w:w="881"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bCs w:val="0"/>
                <w:color w:val="auto"/>
                <w:kern w:val="1"/>
                <w:sz w:val="24"/>
                <w:szCs w:val="24"/>
              </w:rPr>
            </w:pPr>
            <w:r>
              <w:rPr>
                <w:rFonts w:hint="default" w:ascii="Times New Roman" w:hAnsi="Times New Roman" w:eastAsia="仿宋" w:cs="Times New Roman"/>
                <w:b/>
                <w:bCs w:val="0"/>
                <w:color w:val="auto"/>
                <w:kern w:val="1"/>
                <w:sz w:val="24"/>
                <w:szCs w:val="24"/>
                <w:lang w:val="en-US" w:eastAsia="zh-CN"/>
              </w:rPr>
              <w:t>最大</w:t>
            </w:r>
            <w:r>
              <w:rPr>
                <w:rFonts w:hint="default" w:ascii="Times New Roman" w:hAnsi="Times New Roman" w:eastAsia="仿宋" w:cs="Times New Roman"/>
                <w:b/>
                <w:bCs w:val="0"/>
                <w:color w:val="auto"/>
                <w:kern w:val="1"/>
                <w:sz w:val="24"/>
                <w:szCs w:val="24"/>
              </w:rPr>
              <w:t>储量（t）</w:t>
            </w:r>
          </w:p>
        </w:tc>
        <w:tc>
          <w:tcPr>
            <w:tcW w:w="828"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bCs w:val="0"/>
                <w:color w:val="auto"/>
                <w:kern w:val="1"/>
                <w:sz w:val="24"/>
                <w:szCs w:val="24"/>
              </w:rPr>
            </w:pPr>
            <w:r>
              <w:rPr>
                <w:rFonts w:hint="default" w:ascii="Times New Roman" w:hAnsi="Times New Roman" w:eastAsia="仿宋" w:cs="Times New Roman"/>
                <w:b/>
                <w:bCs w:val="0"/>
                <w:color w:val="auto"/>
                <w:kern w:val="1"/>
                <w:sz w:val="24"/>
                <w:szCs w:val="24"/>
              </w:rPr>
              <w:t>临界量（t）</w:t>
            </w:r>
          </w:p>
        </w:tc>
        <w:tc>
          <w:tcPr>
            <w:tcW w:w="740"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bCs w:val="0"/>
                <w:color w:val="auto"/>
                <w:kern w:val="1"/>
                <w:sz w:val="24"/>
                <w:szCs w:val="24"/>
              </w:rPr>
            </w:pPr>
            <w:r>
              <w:rPr>
                <w:rFonts w:hint="default" w:ascii="Times New Roman" w:hAnsi="Times New Roman" w:eastAsia="仿宋" w:cs="Times New Roman"/>
                <w:b/>
                <w:bCs w:val="0"/>
                <w:color w:val="auto"/>
                <w:kern w:val="1"/>
                <w:sz w:val="24"/>
                <w:szCs w:val="24"/>
              </w:rPr>
              <w:t>Q</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1360" w:type="pct"/>
            <w:tcBorders>
              <w:tl2br w:val="nil"/>
              <w:tr2bl w:val="nil"/>
            </w:tcBorders>
            <w:noWrap w:val="0"/>
            <w:vAlign w:val="center"/>
          </w:tcPr>
          <w:p>
            <w:pPr>
              <w:pStyle w:val="7"/>
              <w:keepNext w:val="0"/>
              <w:keepLines w:val="0"/>
              <w:pageBreakBefore w:val="0"/>
              <w:widowControl w:val="0"/>
              <w:kinsoku/>
              <w:wordWrap/>
              <w:overflowPunct/>
              <w:topLinePunct w:val="0"/>
              <w:autoSpaceDE w:val="0"/>
              <w:autoSpaceDN w:val="0"/>
              <w:bidi w:val="0"/>
              <w:adjustRightInd/>
              <w:snapToGrid/>
              <w:spacing w:after="0" w:line="240" w:lineRule="auto"/>
              <w:ind w:left="0" w:leftChars="0" w:right="0" w:rightChars="0" w:firstLine="0" w:firstLineChars="0"/>
              <w:jc w:val="center"/>
              <w:textAlignment w:val="auto"/>
              <w:rPr>
                <w:rFonts w:hint="default" w:ascii="Times New Roman" w:hAnsi="Times New Roman" w:eastAsia="仿宋" w:cs="Times New Roman"/>
                <w:b w:val="0"/>
                <w:bCs/>
                <w:color w:val="auto"/>
                <w:kern w:val="1"/>
                <w:sz w:val="24"/>
                <w:szCs w:val="24"/>
                <w:lang w:eastAsia="zh-CN"/>
              </w:rPr>
            </w:pPr>
            <w:r>
              <w:rPr>
                <w:rFonts w:hint="eastAsia" w:ascii="Times New Roman" w:hAnsi="Times New Roman" w:eastAsia="仿宋" w:cs="Times New Roman"/>
                <w:bCs/>
                <w:smallCaps w:val="0"/>
                <w:snapToGrid w:val="0"/>
                <w:color w:val="auto"/>
                <w:spacing w:val="0"/>
                <w:w w:val="100"/>
                <w:kern w:val="0"/>
                <w:sz w:val="24"/>
                <w:szCs w:val="24"/>
                <w:lang w:val="en-US" w:eastAsia="zh-CN" w:bidi="zh-CN"/>
              </w:rPr>
              <w:t>健康危险急性毒性物质（类别2，类别3）</w:t>
            </w:r>
          </w:p>
        </w:tc>
        <w:tc>
          <w:tcPr>
            <w:tcW w:w="1188" w:type="pct"/>
            <w:tcBorders>
              <w:tl2br w:val="nil"/>
              <w:tr2bl w:val="nil"/>
            </w:tcBorders>
            <w:noWrap w:val="0"/>
            <w:vAlign w:val="center"/>
          </w:tcPr>
          <w:p>
            <w:pPr>
              <w:pStyle w:val="7"/>
              <w:keepNext w:val="0"/>
              <w:keepLines w:val="0"/>
              <w:pageBreakBefore w:val="0"/>
              <w:widowControl w:val="0"/>
              <w:kinsoku/>
              <w:wordWrap/>
              <w:overflowPunct/>
              <w:topLinePunct w:val="0"/>
              <w:autoSpaceDE w:val="0"/>
              <w:autoSpaceDN w:val="0"/>
              <w:bidi w:val="0"/>
              <w:adjustRightInd/>
              <w:snapToGrid/>
              <w:spacing w:after="0" w:line="240" w:lineRule="auto"/>
              <w:ind w:left="0" w:leftChars="0" w:right="0" w:rightChars="0" w:firstLine="0" w:firstLineChars="0"/>
              <w:jc w:val="center"/>
              <w:textAlignment w:val="auto"/>
              <w:rPr>
                <w:rFonts w:hint="default" w:ascii="Times New Roman" w:hAnsi="Times New Roman" w:eastAsia="仿宋" w:cs="Times New Roman"/>
                <w:b w:val="0"/>
                <w:bCs/>
                <w:color w:val="auto"/>
                <w:sz w:val="24"/>
                <w:szCs w:val="24"/>
                <w:highlight w:val="none"/>
                <w:lang w:val="en-US" w:eastAsia="zh-CN"/>
              </w:rPr>
            </w:pPr>
            <w:r>
              <w:rPr>
                <w:rFonts w:hint="default" w:ascii="Times New Roman" w:hAnsi="Times New Roman" w:eastAsia="仿宋" w:cs="Times New Roman"/>
                <w:b w:val="0"/>
                <w:bCs/>
                <w:color w:val="auto"/>
                <w:sz w:val="24"/>
                <w:szCs w:val="24"/>
                <w:highlight w:val="none"/>
                <w:lang w:val="en-US" w:eastAsia="zh-CN"/>
              </w:rPr>
              <w:t>废机油、废润滑油、废乳化液</w:t>
            </w:r>
          </w:p>
        </w:tc>
        <w:tc>
          <w:tcPr>
            <w:tcW w:w="881"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val="0"/>
                <w:bCs/>
                <w:color w:val="auto"/>
                <w:kern w:val="1"/>
                <w:sz w:val="24"/>
                <w:szCs w:val="24"/>
                <w:highlight w:val="none"/>
                <w:lang w:val="en-US" w:eastAsia="zh-CN"/>
              </w:rPr>
            </w:pPr>
            <w:r>
              <w:rPr>
                <w:rFonts w:hint="eastAsia" w:ascii="Times New Roman" w:hAnsi="Times New Roman" w:eastAsia="仿宋" w:cs="Times New Roman"/>
                <w:bCs/>
                <w:color w:val="auto"/>
                <w:kern w:val="2"/>
                <w:sz w:val="24"/>
                <w:szCs w:val="24"/>
                <w:highlight w:val="none"/>
                <w:lang w:val="en-US" w:eastAsia="zh-CN" w:bidi="ar-SA"/>
              </w:rPr>
              <w:t>0.75</w:t>
            </w:r>
          </w:p>
        </w:tc>
        <w:tc>
          <w:tcPr>
            <w:tcW w:w="828"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val="0"/>
                <w:bCs/>
                <w:color w:val="auto"/>
                <w:kern w:val="1"/>
                <w:sz w:val="24"/>
                <w:szCs w:val="24"/>
                <w:highlight w:val="none"/>
                <w:lang w:val="en-US" w:eastAsia="zh-CN"/>
              </w:rPr>
            </w:pPr>
            <w:r>
              <w:rPr>
                <w:rFonts w:hint="eastAsia" w:ascii="Times New Roman" w:hAnsi="Times New Roman" w:eastAsia="仿宋" w:cs="Times New Roman"/>
                <w:b w:val="0"/>
                <w:bCs/>
                <w:color w:val="auto"/>
                <w:kern w:val="1"/>
                <w:sz w:val="24"/>
                <w:szCs w:val="24"/>
                <w:highlight w:val="none"/>
                <w:lang w:val="en-US" w:eastAsia="zh-CN"/>
              </w:rPr>
              <w:t>50</w:t>
            </w:r>
          </w:p>
        </w:tc>
        <w:tc>
          <w:tcPr>
            <w:tcW w:w="740"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val="0"/>
                <w:bCs/>
                <w:color w:val="auto"/>
                <w:kern w:val="1"/>
                <w:sz w:val="24"/>
                <w:szCs w:val="24"/>
                <w:highlight w:val="none"/>
                <w:lang w:val="en-US" w:eastAsia="zh-CN"/>
              </w:rPr>
            </w:pPr>
            <w:r>
              <w:rPr>
                <w:rFonts w:hint="eastAsia" w:ascii="Times New Roman" w:hAnsi="Times New Roman" w:eastAsia="仿宋" w:cs="Times New Roman"/>
                <w:b w:val="0"/>
                <w:bCs/>
                <w:color w:val="auto"/>
                <w:kern w:val="1"/>
                <w:sz w:val="24"/>
                <w:szCs w:val="24"/>
                <w:highlight w:val="none"/>
                <w:lang w:val="en-US" w:eastAsia="zh-CN"/>
              </w:rPr>
              <w:t>0.015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1360" w:type="pct"/>
            <w:tcBorders>
              <w:tl2br w:val="nil"/>
              <w:tr2bl w:val="nil"/>
            </w:tcBorders>
            <w:noWrap w:val="0"/>
            <w:vAlign w:val="center"/>
          </w:tcPr>
          <w:p>
            <w:pPr>
              <w:pStyle w:val="7"/>
              <w:keepNext w:val="0"/>
              <w:keepLines w:val="0"/>
              <w:pageBreakBefore w:val="0"/>
              <w:widowControl w:val="0"/>
              <w:kinsoku/>
              <w:wordWrap/>
              <w:overflowPunct/>
              <w:topLinePunct w:val="0"/>
              <w:autoSpaceDE w:val="0"/>
              <w:autoSpaceDN w:val="0"/>
              <w:bidi w:val="0"/>
              <w:adjustRightInd/>
              <w:snapToGrid/>
              <w:spacing w:after="0" w:line="240" w:lineRule="auto"/>
              <w:ind w:left="0" w:leftChars="0" w:right="0" w:rightChars="0" w:firstLine="0" w:firstLineChars="0"/>
              <w:jc w:val="center"/>
              <w:textAlignment w:val="auto"/>
              <w:rPr>
                <w:rFonts w:hint="default" w:ascii="Times New Roman" w:hAnsi="Times New Roman" w:eastAsia="仿宋" w:cs="Times New Roman"/>
                <w:bCs/>
                <w:smallCaps w:val="0"/>
                <w:snapToGrid w:val="0"/>
                <w:color w:val="auto"/>
                <w:spacing w:val="0"/>
                <w:w w:val="100"/>
                <w:kern w:val="0"/>
                <w:sz w:val="24"/>
                <w:szCs w:val="24"/>
                <w:lang w:val="en-US" w:eastAsia="zh-CN" w:bidi="zh-CN"/>
              </w:rPr>
            </w:pPr>
            <w:r>
              <w:rPr>
                <w:rFonts w:hint="eastAsia" w:ascii="Times New Roman" w:hAnsi="Times New Roman" w:eastAsia="仿宋" w:cs="Times New Roman"/>
                <w:bCs/>
                <w:smallCaps w:val="0"/>
                <w:snapToGrid w:val="0"/>
                <w:color w:val="auto"/>
                <w:spacing w:val="0"/>
                <w:w w:val="100"/>
                <w:kern w:val="0"/>
                <w:sz w:val="24"/>
                <w:szCs w:val="24"/>
                <w:lang w:val="en-US" w:eastAsia="zh-CN" w:bidi="zh-CN"/>
              </w:rPr>
              <w:t>易燃易爆气态物质</w:t>
            </w:r>
          </w:p>
        </w:tc>
        <w:tc>
          <w:tcPr>
            <w:tcW w:w="1188" w:type="pct"/>
            <w:tcBorders>
              <w:tl2br w:val="nil"/>
              <w:tr2bl w:val="nil"/>
            </w:tcBorders>
            <w:noWrap w:val="0"/>
            <w:vAlign w:val="center"/>
          </w:tcPr>
          <w:p>
            <w:pPr>
              <w:pStyle w:val="7"/>
              <w:keepNext w:val="0"/>
              <w:keepLines w:val="0"/>
              <w:pageBreakBefore w:val="0"/>
              <w:widowControl w:val="0"/>
              <w:kinsoku/>
              <w:wordWrap/>
              <w:overflowPunct/>
              <w:topLinePunct w:val="0"/>
              <w:autoSpaceDE w:val="0"/>
              <w:autoSpaceDN w:val="0"/>
              <w:bidi w:val="0"/>
              <w:adjustRightInd/>
              <w:snapToGrid/>
              <w:spacing w:after="0" w:line="240" w:lineRule="auto"/>
              <w:ind w:left="0" w:leftChars="0" w:right="0" w:rightChars="0" w:firstLine="0" w:firstLineChars="0"/>
              <w:jc w:val="center"/>
              <w:textAlignment w:val="auto"/>
              <w:rPr>
                <w:rFonts w:hint="eastAsia" w:ascii="Times New Roman" w:hAnsi="Times New Roman" w:eastAsia="仿宋" w:cs="Times New Roman"/>
                <w:b w:val="0"/>
                <w:bCs/>
                <w:color w:val="auto"/>
                <w:kern w:val="2"/>
                <w:sz w:val="24"/>
                <w:szCs w:val="24"/>
                <w:lang w:val="en-US" w:eastAsia="zh-CN" w:bidi="ar-SA"/>
              </w:rPr>
            </w:pPr>
            <w:r>
              <w:rPr>
                <w:rFonts w:hint="eastAsia" w:ascii="Times New Roman" w:hAnsi="Times New Roman" w:eastAsia="仿宋" w:cs="Times New Roman"/>
                <w:color w:val="auto"/>
                <w:kern w:val="2"/>
                <w:sz w:val="24"/>
                <w:szCs w:val="24"/>
                <w:highlight w:val="none"/>
                <w:lang w:val="en-US" w:eastAsia="zh-CN" w:bidi="ar-SA"/>
              </w:rPr>
              <w:t>丙烷</w:t>
            </w:r>
          </w:p>
        </w:tc>
        <w:tc>
          <w:tcPr>
            <w:tcW w:w="881"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val="0"/>
                <w:bCs/>
                <w:color w:val="auto"/>
                <w:kern w:val="1"/>
                <w:sz w:val="24"/>
                <w:szCs w:val="24"/>
                <w:lang w:val="en-US" w:eastAsia="zh-CN"/>
              </w:rPr>
            </w:pPr>
            <w:r>
              <w:rPr>
                <w:rFonts w:hint="eastAsia" w:ascii="Times New Roman" w:hAnsi="Times New Roman" w:eastAsia="仿宋" w:cs="Times New Roman"/>
                <w:bCs/>
                <w:color w:val="auto"/>
                <w:kern w:val="2"/>
                <w:sz w:val="24"/>
                <w:szCs w:val="24"/>
                <w:highlight w:val="none"/>
                <w:lang w:val="en-US" w:eastAsia="zh-CN" w:bidi="ar-SA"/>
              </w:rPr>
              <w:t>1.05</w:t>
            </w:r>
          </w:p>
        </w:tc>
        <w:tc>
          <w:tcPr>
            <w:tcW w:w="828"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val="0"/>
                <w:bCs/>
                <w:color w:val="auto"/>
                <w:kern w:val="1"/>
                <w:sz w:val="24"/>
                <w:szCs w:val="24"/>
                <w:lang w:val="en-US" w:eastAsia="zh-CN"/>
              </w:rPr>
            </w:pPr>
            <w:r>
              <w:rPr>
                <w:rFonts w:hint="eastAsia" w:ascii="Times New Roman" w:hAnsi="Times New Roman" w:eastAsia="仿宋" w:cs="Times New Roman"/>
                <w:b w:val="0"/>
                <w:bCs/>
                <w:color w:val="auto"/>
                <w:kern w:val="1"/>
                <w:sz w:val="24"/>
                <w:szCs w:val="24"/>
                <w:lang w:val="en-US" w:eastAsia="zh-CN"/>
              </w:rPr>
              <w:t>10</w:t>
            </w:r>
          </w:p>
        </w:tc>
        <w:tc>
          <w:tcPr>
            <w:tcW w:w="740"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val="0"/>
                <w:bCs/>
                <w:color w:val="auto"/>
                <w:kern w:val="1"/>
                <w:sz w:val="24"/>
                <w:szCs w:val="24"/>
                <w:lang w:val="en-US" w:eastAsia="zh-CN"/>
              </w:rPr>
            </w:pPr>
            <w:r>
              <w:rPr>
                <w:rFonts w:hint="eastAsia" w:ascii="Times New Roman" w:hAnsi="Times New Roman" w:eastAsia="仿宋" w:cs="Times New Roman"/>
                <w:b w:val="0"/>
                <w:bCs/>
                <w:color w:val="auto"/>
                <w:kern w:val="1"/>
                <w:sz w:val="24"/>
                <w:szCs w:val="24"/>
                <w:lang w:val="en-US" w:eastAsia="zh-CN"/>
              </w:rPr>
              <w:t>0.105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4259" w:type="pct"/>
            <w:gridSpan w:val="4"/>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val="0"/>
                <w:bCs/>
                <w:color w:val="auto"/>
                <w:kern w:val="1"/>
                <w:sz w:val="24"/>
                <w:szCs w:val="24"/>
                <w:highlight w:val="yellow"/>
              </w:rPr>
            </w:pPr>
            <w:r>
              <w:rPr>
                <w:rFonts w:hint="default" w:ascii="Times New Roman" w:hAnsi="Times New Roman" w:eastAsia="仿宋" w:cs="Times New Roman"/>
                <w:b w:val="0"/>
                <w:bCs/>
                <w:color w:val="auto"/>
                <w:kern w:val="1"/>
                <w:sz w:val="24"/>
                <w:szCs w:val="24"/>
                <w:highlight w:val="none"/>
              </w:rPr>
              <w:t>合计</w:t>
            </w:r>
          </w:p>
        </w:tc>
        <w:tc>
          <w:tcPr>
            <w:tcW w:w="740" w:type="pct"/>
            <w:tcBorders>
              <w:tl2br w:val="nil"/>
              <w:tr2bl w:val="nil"/>
            </w:tcBorders>
            <w:noWrap w:val="0"/>
            <w:vAlign w:val="center"/>
          </w:tcPr>
          <w:p>
            <w:pPr>
              <w:keepNext w:val="0"/>
              <w:keepLines w:val="0"/>
              <w:pageBreakBefore w:val="0"/>
              <w:widowControl w:val="0"/>
              <w:kinsoku/>
              <w:wordWrap/>
              <w:topLinePunct w:val="0"/>
              <w:autoSpaceDE w:val="0"/>
              <w:autoSpaceDN w:val="0"/>
              <w:bidi w:val="0"/>
              <w:adjustRightInd w:val="0"/>
              <w:snapToGrid w:val="0"/>
              <w:spacing w:line="240" w:lineRule="auto"/>
              <w:ind w:left="0" w:leftChars="0" w:right="0" w:rightChars="0" w:firstLine="0" w:firstLineChars="0"/>
              <w:jc w:val="center"/>
              <w:textAlignment w:val="center"/>
              <w:rPr>
                <w:rFonts w:hint="default" w:ascii="Times New Roman" w:hAnsi="Times New Roman" w:eastAsia="仿宋" w:cs="Times New Roman"/>
                <w:b w:val="0"/>
                <w:bCs/>
                <w:color w:val="auto"/>
                <w:kern w:val="1"/>
                <w:sz w:val="24"/>
                <w:szCs w:val="24"/>
                <w:highlight w:val="none"/>
                <w:lang w:val="en-US" w:eastAsia="zh-CN"/>
              </w:rPr>
            </w:pPr>
            <w:r>
              <w:rPr>
                <w:rFonts w:hint="eastAsia" w:ascii="Times New Roman" w:hAnsi="Times New Roman" w:eastAsia="仿宋" w:cs="Times New Roman"/>
                <w:b w:val="0"/>
                <w:bCs/>
                <w:color w:val="auto"/>
                <w:kern w:val="1"/>
                <w:sz w:val="24"/>
                <w:szCs w:val="24"/>
                <w:highlight w:val="none"/>
                <w:lang w:val="en-US" w:eastAsia="zh-CN"/>
              </w:rPr>
              <w:t>0.12</w:t>
            </w:r>
          </w:p>
        </w:tc>
      </w:tr>
    </w:tbl>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lang w:eastAsia="zh-CN"/>
        </w:rPr>
        <w:t>由上表可知</w:t>
      </w:r>
      <w:r>
        <w:rPr>
          <w:rFonts w:hint="default" w:ascii="Times New Roman" w:hAnsi="Times New Roman" w:eastAsia="仿宋" w:cs="Times New Roman"/>
          <w:color w:val="auto"/>
          <w:sz w:val="28"/>
          <w:szCs w:val="28"/>
        </w:rPr>
        <w:t>本项目</w:t>
      </w:r>
      <w:r>
        <w:rPr>
          <w:rFonts w:hint="default" w:ascii="Times New Roman" w:hAnsi="Times New Roman" w:eastAsia="仿宋" w:cs="Times New Roman"/>
          <w:color w:val="auto"/>
          <w:sz w:val="28"/>
          <w:szCs w:val="28"/>
          <w:lang w:eastAsia="zh-CN"/>
        </w:rPr>
        <w:t>涉气风险物质</w:t>
      </w:r>
      <w:r>
        <w:rPr>
          <w:rFonts w:hint="default" w:ascii="Times New Roman" w:hAnsi="Times New Roman" w:eastAsia="仿宋" w:cs="Times New Roman"/>
          <w:color w:val="auto"/>
          <w:sz w:val="28"/>
          <w:szCs w:val="28"/>
        </w:rPr>
        <w:t>Q＜1，根据《企业突发环境事件风险分级方法》HJ</w:t>
      </w:r>
      <w:r>
        <w:rPr>
          <w:rFonts w:hint="default" w:ascii="Times New Roman" w:hAnsi="Times New Roman" w:eastAsia="仿宋" w:cs="Times New Roman"/>
          <w:color w:val="auto"/>
          <w:sz w:val="28"/>
          <w:szCs w:val="28"/>
          <w:lang w:val="en-US" w:eastAsia="zh-CN"/>
        </w:rPr>
        <w:t xml:space="preserve"> </w:t>
      </w:r>
      <w:r>
        <w:rPr>
          <w:rFonts w:hint="default" w:ascii="Times New Roman" w:hAnsi="Times New Roman" w:eastAsia="仿宋" w:cs="Times New Roman"/>
          <w:color w:val="auto"/>
          <w:sz w:val="28"/>
          <w:szCs w:val="28"/>
        </w:rPr>
        <w:t>941-2018规定，企业的</w:t>
      </w:r>
      <w:r>
        <w:rPr>
          <w:rFonts w:hint="default" w:ascii="Times New Roman" w:hAnsi="Times New Roman" w:eastAsia="仿宋" w:cs="Times New Roman"/>
          <w:color w:val="auto"/>
          <w:sz w:val="28"/>
          <w:szCs w:val="28"/>
          <w:lang w:eastAsia="zh-CN"/>
        </w:rPr>
        <w:t>大气</w:t>
      </w:r>
      <w:r>
        <w:rPr>
          <w:rFonts w:hint="default" w:ascii="Times New Roman" w:hAnsi="Times New Roman" w:eastAsia="仿宋" w:cs="Times New Roman"/>
          <w:color w:val="auto"/>
          <w:sz w:val="28"/>
          <w:szCs w:val="28"/>
        </w:rPr>
        <w:t>环境风险等级</w:t>
      </w:r>
      <w:r>
        <w:rPr>
          <w:rFonts w:hint="default" w:ascii="Times New Roman" w:hAnsi="Times New Roman" w:eastAsia="仿宋" w:cs="Times New Roman"/>
          <w:color w:val="auto"/>
          <w:sz w:val="28"/>
          <w:szCs w:val="28"/>
          <w:lang w:eastAsia="zh-CN"/>
        </w:rPr>
        <w:t>直接评</w:t>
      </w:r>
      <w:r>
        <w:rPr>
          <w:rFonts w:hint="default" w:ascii="Times New Roman" w:hAnsi="Times New Roman" w:eastAsia="仿宋" w:cs="Times New Roman"/>
          <w:color w:val="auto"/>
          <w:sz w:val="28"/>
          <w:szCs w:val="28"/>
        </w:rPr>
        <w:t>为一般环境风险等级。表</w:t>
      </w:r>
      <w:r>
        <w:rPr>
          <w:rFonts w:hint="default" w:ascii="Times New Roman" w:hAnsi="Times New Roman" w:eastAsia="仿宋" w:cs="Times New Roman"/>
          <w:color w:val="auto"/>
          <w:sz w:val="28"/>
          <w:szCs w:val="28"/>
          <w:lang w:eastAsia="zh-CN"/>
        </w:rPr>
        <w:t>征</w:t>
      </w:r>
      <w:r>
        <w:rPr>
          <w:rFonts w:hint="default" w:ascii="Times New Roman" w:hAnsi="Times New Roman" w:eastAsia="仿宋" w:cs="Times New Roman"/>
          <w:color w:val="auto"/>
          <w:sz w:val="28"/>
          <w:szCs w:val="28"/>
        </w:rPr>
        <w:t>为“一般-大气（Q</w:t>
      </w:r>
      <w:r>
        <w:rPr>
          <w:rFonts w:hint="default" w:ascii="Times New Roman" w:hAnsi="Times New Roman" w:eastAsia="仿宋" w:cs="Times New Roman"/>
          <w:color w:val="auto"/>
          <w:sz w:val="28"/>
          <w:szCs w:val="28"/>
          <w:vertAlign w:val="subscript"/>
        </w:rPr>
        <w:t>0</w:t>
      </w:r>
      <w:r>
        <w:rPr>
          <w:rFonts w:hint="default" w:ascii="Times New Roman" w:hAnsi="Times New Roman" w:eastAsia="仿宋" w:cs="Times New Roman"/>
          <w:color w:val="auto"/>
          <w:sz w:val="28"/>
          <w:szCs w:val="28"/>
        </w:rPr>
        <w:t>）”。</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outlineLvl w:val="0"/>
        <w:rPr>
          <w:rFonts w:hint="default" w:ascii="Times New Roman" w:hAnsi="Times New Roman" w:eastAsia="仿宋" w:cs="Times New Roman"/>
          <w:b/>
          <w:bCs/>
          <w:color w:val="auto"/>
          <w:sz w:val="32"/>
          <w:szCs w:val="32"/>
          <w:lang w:val="en-US" w:eastAsia="zh-CN"/>
        </w:rPr>
      </w:pPr>
      <w:bookmarkStart w:id="580" w:name="_Toc5157"/>
      <w:bookmarkStart w:id="581" w:name="_Toc6471"/>
      <w:bookmarkStart w:id="582" w:name="_Toc25827_WPSOffice_Level2"/>
      <w:bookmarkStart w:id="583" w:name="_Toc27686_WPSOffice_Level2"/>
      <w:r>
        <w:rPr>
          <w:rFonts w:hint="eastAsia" w:ascii="Times New Roman" w:hAnsi="Times New Roman" w:eastAsia="仿宋" w:cs="Times New Roman"/>
          <w:b/>
          <w:bCs/>
          <w:color w:val="auto"/>
          <w:sz w:val="32"/>
          <w:szCs w:val="32"/>
          <w:lang w:val="en-US" w:eastAsia="zh-CN"/>
        </w:rPr>
        <w:t>7.4突发水环境事件风险等级</w:t>
      </w:r>
      <w:bookmarkEnd w:id="580"/>
      <w:bookmarkEnd w:id="581"/>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7.</w:t>
      </w:r>
      <w:r>
        <w:rPr>
          <w:rFonts w:hint="eastAsia" w:ascii="Times New Roman" w:hAnsi="Times New Roman" w:eastAsia="仿宋" w:cs="Times New Roman"/>
          <w:b/>
          <w:bCs/>
          <w:color w:val="auto"/>
          <w:sz w:val="28"/>
          <w:szCs w:val="28"/>
          <w:lang w:val="en-US" w:eastAsia="zh-CN"/>
        </w:rPr>
        <w:t>4</w:t>
      </w:r>
      <w:r>
        <w:rPr>
          <w:rFonts w:hint="default" w:ascii="Times New Roman" w:hAnsi="Times New Roman" w:eastAsia="仿宋" w:cs="Times New Roman"/>
          <w:b/>
          <w:bCs/>
          <w:color w:val="auto"/>
          <w:sz w:val="28"/>
          <w:szCs w:val="28"/>
        </w:rPr>
        <w:t>.</w:t>
      </w:r>
      <w:r>
        <w:rPr>
          <w:rFonts w:hint="eastAsia" w:ascii="Times New Roman" w:hAnsi="Times New Roman" w:eastAsia="仿宋" w:cs="Times New Roman"/>
          <w:b/>
          <w:bCs/>
          <w:color w:val="auto"/>
          <w:sz w:val="28"/>
          <w:szCs w:val="28"/>
          <w:lang w:val="en-US" w:eastAsia="zh-CN"/>
        </w:rPr>
        <w:t>1</w:t>
      </w:r>
      <w:r>
        <w:rPr>
          <w:rFonts w:hint="default" w:ascii="Times New Roman" w:hAnsi="Times New Roman" w:eastAsia="仿宋" w:cs="Times New Roman"/>
          <w:b/>
          <w:bCs/>
          <w:color w:val="auto"/>
          <w:sz w:val="28"/>
          <w:szCs w:val="28"/>
        </w:rPr>
        <w:t xml:space="preserve"> </w:t>
      </w:r>
      <w:bookmarkEnd w:id="582"/>
      <w:bookmarkEnd w:id="583"/>
      <w:bookmarkStart w:id="584" w:name="_Toc30783_WPSOffice_Level2"/>
      <w:bookmarkStart w:id="585" w:name="_Toc29402_WPSOffice_Level2"/>
      <w:r>
        <w:rPr>
          <w:rFonts w:hint="default" w:ascii="Times New Roman" w:hAnsi="Times New Roman" w:eastAsia="仿宋" w:cs="Times New Roman"/>
          <w:b/>
          <w:bCs/>
          <w:color w:val="auto"/>
          <w:sz w:val="28"/>
          <w:szCs w:val="28"/>
        </w:rPr>
        <w:t>计算涉水风险物质数量与临界量比值（Q）</w:t>
      </w:r>
      <w:bookmarkEnd w:id="584"/>
      <w:bookmarkEnd w:id="585"/>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环境风险物质数量与临界量的比值按下式进行计算（Q）：</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jc w:val="center"/>
        <w:textAlignment w:val="auto"/>
        <w:rPr>
          <w:rFonts w:hint="default" w:ascii="Times New Roman" w:hAnsi="Times New Roman" w:eastAsia="仿宋" w:cs="Times New Roman"/>
          <w:color w:val="auto"/>
          <w:position w:val="-12"/>
          <w:sz w:val="28"/>
          <w:szCs w:val="28"/>
        </w:rPr>
      </w:pPr>
      <w:r>
        <w:rPr>
          <w:rFonts w:hint="default" w:ascii="Times New Roman" w:hAnsi="Times New Roman" w:eastAsia="仿宋" w:cs="Times New Roman"/>
          <w:color w:val="auto"/>
          <w:position w:val="-30"/>
          <w:sz w:val="28"/>
          <w:szCs w:val="28"/>
        </w:rPr>
        <w:object>
          <v:shape id="_x0000_i1027" o:spt="75" type="#_x0000_t75" style="height:34pt;width:130pt;" o:ole="t" filled="f" o:preferrelative="t" stroked="f" coordsize="21600,21600">
            <v:path/>
            <v:fill on="f" focussize="0,0"/>
            <v:stroke on="f"/>
            <v:imagedata r:id="rId14" o:title=""/>
            <o:lock v:ext="edit" aspectratio="t"/>
            <w10:wrap type="none"/>
            <w10:anchorlock/>
          </v:shape>
          <o:OLEObject Type="Embed" ProgID="Equation.KSEE3" ShapeID="_x0000_i1027" DrawAspect="Content" ObjectID="_1468075727" r:id="rId15">
            <o:LockedField>false</o:LockedField>
          </o:OLEObject>
        </w:object>
      </w:r>
      <w:r>
        <w:rPr>
          <w:rFonts w:hint="default" w:ascii="Times New Roman" w:hAnsi="Times New Roman" w:eastAsia="仿宋" w:cs="Times New Roman"/>
          <w:color w:val="auto"/>
          <w:position w:val="-12"/>
          <w:sz w:val="28"/>
          <w:szCs w:val="28"/>
        </w:rPr>
        <w:t xml:space="preserve">              （1）</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w:t>
      </w:r>
      <w:r>
        <w:rPr>
          <w:rFonts w:hint="default" w:ascii="Times New Roman" w:hAnsi="Times New Roman" w:eastAsia="仿宋" w:cs="Times New Roman"/>
          <w:color w:val="auto"/>
          <w:sz w:val="28"/>
          <w:szCs w:val="28"/>
          <w:vertAlign w:val="subscript"/>
        </w:rPr>
        <w:t>1</w:t>
      </w:r>
      <w:r>
        <w:rPr>
          <w:rFonts w:hint="default" w:ascii="Times New Roman" w:hAnsi="Times New Roman" w:eastAsia="仿宋" w:cs="Times New Roman"/>
          <w:color w:val="auto"/>
          <w:sz w:val="28"/>
          <w:szCs w:val="28"/>
        </w:rPr>
        <w:t>，w</w:t>
      </w:r>
      <w:r>
        <w:rPr>
          <w:rFonts w:hint="default" w:ascii="Times New Roman" w:hAnsi="Times New Roman" w:eastAsia="仿宋" w:cs="Times New Roman"/>
          <w:color w:val="auto"/>
          <w:sz w:val="28"/>
          <w:szCs w:val="28"/>
          <w:vertAlign w:val="subscript"/>
        </w:rPr>
        <w:t>2</w:t>
      </w:r>
      <w:r>
        <w:rPr>
          <w:rFonts w:hint="default" w:ascii="Times New Roman" w:hAnsi="Times New Roman" w:eastAsia="仿宋" w:cs="Times New Roman"/>
          <w:color w:val="auto"/>
          <w:sz w:val="28"/>
          <w:szCs w:val="28"/>
        </w:rPr>
        <w:t>，...，w</w:t>
      </w:r>
      <w:r>
        <w:rPr>
          <w:rFonts w:hint="default" w:ascii="Times New Roman" w:hAnsi="Times New Roman" w:eastAsia="仿宋" w:cs="Times New Roman"/>
          <w:color w:val="auto"/>
          <w:sz w:val="28"/>
          <w:szCs w:val="28"/>
          <w:vertAlign w:val="subscript"/>
        </w:rPr>
        <w:t>n</w:t>
      </w:r>
      <w:r>
        <w:rPr>
          <w:rFonts w:hint="default" w:ascii="Times New Roman" w:hAnsi="Times New Roman" w:eastAsia="仿宋" w:cs="Times New Roman"/>
          <w:color w:val="auto"/>
          <w:sz w:val="28"/>
          <w:szCs w:val="28"/>
        </w:rPr>
        <w:t>——每种风险物质的存在量，t；</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W</w:t>
      </w:r>
      <w:r>
        <w:rPr>
          <w:rFonts w:hint="default" w:ascii="Times New Roman" w:hAnsi="Times New Roman" w:eastAsia="仿宋" w:cs="Times New Roman"/>
          <w:color w:val="auto"/>
          <w:sz w:val="28"/>
          <w:szCs w:val="28"/>
          <w:vertAlign w:val="subscript"/>
        </w:rPr>
        <w:t>1</w:t>
      </w:r>
      <w:r>
        <w:rPr>
          <w:rFonts w:hint="default" w:ascii="Times New Roman" w:hAnsi="Times New Roman" w:eastAsia="仿宋" w:cs="Times New Roman"/>
          <w:color w:val="auto"/>
          <w:sz w:val="28"/>
          <w:szCs w:val="28"/>
        </w:rPr>
        <w:t>，W</w:t>
      </w:r>
      <w:r>
        <w:rPr>
          <w:rFonts w:hint="default" w:ascii="Times New Roman" w:hAnsi="Times New Roman" w:eastAsia="仿宋" w:cs="Times New Roman"/>
          <w:color w:val="auto"/>
          <w:sz w:val="28"/>
          <w:szCs w:val="28"/>
          <w:vertAlign w:val="subscript"/>
        </w:rPr>
        <w:t>2</w:t>
      </w:r>
      <w:r>
        <w:rPr>
          <w:rFonts w:hint="default" w:ascii="Times New Roman" w:hAnsi="Times New Roman" w:eastAsia="仿宋" w:cs="Times New Roman"/>
          <w:color w:val="auto"/>
          <w:sz w:val="28"/>
          <w:szCs w:val="28"/>
        </w:rPr>
        <w:t>，...，W</w:t>
      </w:r>
      <w:r>
        <w:rPr>
          <w:rFonts w:hint="default" w:ascii="Times New Roman" w:hAnsi="Times New Roman" w:eastAsia="仿宋" w:cs="Times New Roman"/>
          <w:color w:val="auto"/>
          <w:sz w:val="28"/>
          <w:szCs w:val="28"/>
          <w:vertAlign w:val="subscript"/>
        </w:rPr>
        <w:t>n</w:t>
      </w:r>
      <w:r>
        <w:rPr>
          <w:rFonts w:hint="default" w:ascii="Times New Roman" w:hAnsi="Times New Roman" w:eastAsia="仿宋" w:cs="Times New Roman"/>
          <w:color w:val="auto"/>
          <w:sz w:val="28"/>
          <w:szCs w:val="28"/>
        </w:rPr>
        <w:t>——每种风险物质的临界量，t。</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按照数值大小，将Q划分为4个水平：</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（1）Q＜1，以Q</w:t>
      </w:r>
      <w:r>
        <w:rPr>
          <w:rFonts w:hint="default" w:ascii="Times New Roman" w:hAnsi="Times New Roman" w:eastAsia="仿宋" w:cs="Times New Roman"/>
          <w:color w:val="auto"/>
          <w:sz w:val="28"/>
          <w:szCs w:val="28"/>
          <w:vertAlign w:val="subscript"/>
        </w:rPr>
        <w:t>0</w:t>
      </w:r>
      <w:r>
        <w:rPr>
          <w:rFonts w:hint="default" w:ascii="Times New Roman" w:hAnsi="Times New Roman" w:eastAsia="仿宋" w:cs="Times New Roman"/>
          <w:color w:val="auto"/>
          <w:sz w:val="28"/>
          <w:szCs w:val="28"/>
        </w:rPr>
        <w:t>表示，直接评为一般环境风险等级；</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（2）1≤Q＜10，以Q</w:t>
      </w:r>
      <w:r>
        <w:rPr>
          <w:rFonts w:hint="default" w:ascii="Times New Roman" w:hAnsi="Times New Roman" w:eastAsia="仿宋" w:cs="Times New Roman"/>
          <w:color w:val="auto"/>
          <w:sz w:val="28"/>
          <w:szCs w:val="28"/>
          <w:vertAlign w:val="subscript"/>
        </w:rPr>
        <w:t>1</w:t>
      </w:r>
      <w:r>
        <w:rPr>
          <w:rFonts w:hint="default" w:ascii="Times New Roman" w:hAnsi="Times New Roman" w:eastAsia="仿宋" w:cs="Times New Roman"/>
          <w:color w:val="auto"/>
          <w:sz w:val="28"/>
          <w:szCs w:val="28"/>
        </w:rPr>
        <w:t>表示；</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（3）10≤Q＜100，以Q</w:t>
      </w:r>
      <w:r>
        <w:rPr>
          <w:rFonts w:hint="default" w:ascii="Times New Roman" w:hAnsi="Times New Roman" w:eastAsia="仿宋" w:cs="Times New Roman"/>
          <w:color w:val="auto"/>
          <w:sz w:val="28"/>
          <w:szCs w:val="28"/>
          <w:vertAlign w:val="subscript"/>
        </w:rPr>
        <w:t>2</w:t>
      </w:r>
      <w:r>
        <w:rPr>
          <w:rFonts w:hint="default" w:ascii="Times New Roman" w:hAnsi="Times New Roman" w:eastAsia="仿宋" w:cs="Times New Roman"/>
          <w:color w:val="auto"/>
          <w:sz w:val="28"/>
          <w:szCs w:val="28"/>
        </w:rPr>
        <w:t>表示；</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（4）Q≥100，以Q</w:t>
      </w:r>
      <w:r>
        <w:rPr>
          <w:rFonts w:hint="default" w:ascii="Times New Roman" w:hAnsi="Times New Roman" w:eastAsia="仿宋" w:cs="Times New Roman"/>
          <w:color w:val="auto"/>
          <w:sz w:val="28"/>
          <w:szCs w:val="28"/>
          <w:vertAlign w:val="subscript"/>
        </w:rPr>
        <w:t>3</w:t>
      </w:r>
      <w:r>
        <w:rPr>
          <w:rFonts w:hint="default" w:ascii="Times New Roman" w:hAnsi="Times New Roman" w:eastAsia="仿宋" w:cs="Times New Roman"/>
          <w:color w:val="auto"/>
          <w:sz w:val="28"/>
          <w:szCs w:val="28"/>
        </w:rPr>
        <w:t>表示。</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bCs/>
          <w:smallCaps w:val="0"/>
          <w:snapToGrid w:val="0"/>
          <w:color w:val="auto"/>
          <w:spacing w:val="0"/>
          <w:w w:val="100"/>
          <w:kern w:val="0"/>
          <w:sz w:val="28"/>
          <w:szCs w:val="28"/>
          <w:lang w:val="en-US" w:eastAsia="zh-CN" w:bidi="zh-CN"/>
        </w:rPr>
      </w:pPr>
      <w:r>
        <w:rPr>
          <w:rFonts w:hint="default" w:ascii="Times New Roman" w:hAnsi="Times New Roman" w:eastAsia="仿宋" w:cs="Times New Roman"/>
          <w:bCs/>
          <w:smallCaps w:val="0"/>
          <w:snapToGrid w:val="0"/>
          <w:color w:val="auto"/>
          <w:spacing w:val="0"/>
          <w:w w:val="100"/>
          <w:kern w:val="0"/>
          <w:sz w:val="28"/>
          <w:szCs w:val="28"/>
          <w:lang w:val="en-US" w:eastAsia="zh-CN" w:bidi="zh-CN"/>
        </w:rPr>
        <w:t>参照《企业突发环境事件风险分级方法》（HJ 941-2018）中的附录A，本企业涉水风险物质见</w:t>
      </w:r>
      <w:r>
        <w:rPr>
          <w:rFonts w:hint="eastAsia" w:ascii="Times New Roman" w:hAnsi="Times New Roman" w:eastAsia="仿宋" w:cs="Times New Roman"/>
          <w:bCs/>
          <w:smallCaps w:val="0"/>
          <w:snapToGrid w:val="0"/>
          <w:color w:val="auto"/>
          <w:spacing w:val="0"/>
          <w:w w:val="100"/>
          <w:kern w:val="0"/>
          <w:sz w:val="28"/>
          <w:szCs w:val="28"/>
          <w:lang w:val="en-US" w:eastAsia="zh-CN" w:bidi="zh-CN"/>
        </w:rPr>
        <w:t>下</w:t>
      </w:r>
      <w:r>
        <w:rPr>
          <w:rFonts w:hint="default" w:ascii="Times New Roman" w:hAnsi="Times New Roman" w:eastAsia="仿宋" w:cs="Times New Roman"/>
          <w:bCs/>
          <w:smallCaps w:val="0"/>
          <w:snapToGrid w:val="0"/>
          <w:color w:val="auto"/>
          <w:spacing w:val="0"/>
          <w:w w:val="100"/>
          <w:kern w:val="0"/>
          <w:sz w:val="28"/>
          <w:szCs w:val="28"/>
          <w:lang w:val="en-US" w:eastAsia="zh-CN" w:bidi="zh-CN"/>
        </w:rPr>
        <w:t>表。</w:t>
      </w:r>
    </w:p>
    <w:p>
      <w:pPr>
        <w:pStyle w:val="14"/>
        <w:keepNext w:val="0"/>
        <w:keepLines w:val="0"/>
        <w:pageBreakBefore w:val="0"/>
        <w:widowControl w:val="0"/>
        <w:tabs>
          <w:tab w:val="left" w:pos="709"/>
          <w:tab w:val="right" w:pos="1134"/>
          <w:tab w:val="right" w:leader="dot" w:pos="8640"/>
        </w:tabs>
        <w:kinsoku/>
        <w:wordWrap/>
        <w:overflowPunct/>
        <w:topLinePunct w:val="0"/>
        <w:autoSpaceDE/>
        <w:autoSpaceDN/>
        <w:bidi w:val="0"/>
        <w:adjustRightInd w:val="0"/>
        <w:snapToGrid w:val="0"/>
        <w:spacing w:after="0" w:line="360" w:lineRule="auto"/>
        <w:ind w:left="0" w:right="0" w:rightChars="0" w:firstLine="0" w:firstLineChars="0"/>
        <w:jc w:val="center"/>
        <w:textAlignment w:val="auto"/>
        <w:rPr>
          <w:rFonts w:hint="default" w:ascii="Times New Roman" w:hAnsi="Times New Roman" w:eastAsia="仿宋" w:cs="Times New Roman"/>
          <w:b/>
          <w:bCs w:val="0"/>
          <w:smallCaps w:val="0"/>
          <w:snapToGrid w:val="0"/>
          <w:color w:val="auto"/>
          <w:spacing w:val="0"/>
          <w:w w:val="100"/>
          <w:kern w:val="0"/>
          <w:sz w:val="24"/>
          <w:szCs w:val="24"/>
          <w:highlight w:val="none"/>
          <w:lang w:val="en-US" w:eastAsia="zh-CN" w:bidi="zh-CN"/>
        </w:rPr>
      </w:pPr>
      <w:r>
        <w:rPr>
          <w:rFonts w:hint="default" w:ascii="Times New Roman" w:hAnsi="Times New Roman" w:eastAsia="仿宋" w:cs="Times New Roman"/>
          <w:b/>
          <w:bCs w:val="0"/>
          <w:smallCaps w:val="0"/>
          <w:snapToGrid w:val="0"/>
          <w:color w:val="auto"/>
          <w:spacing w:val="0"/>
          <w:w w:val="100"/>
          <w:kern w:val="0"/>
          <w:sz w:val="24"/>
          <w:szCs w:val="24"/>
          <w:highlight w:val="none"/>
          <w:lang w:val="en-US" w:eastAsia="zh-CN" w:bidi="zh-CN"/>
        </w:rPr>
        <w:t>表7.</w:t>
      </w:r>
      <w:r>
        <w:rPr>
          <w:rFonts w:hint="eastAsia" w:ascii="Times New Roman" w:hAnsi="Times New Roman" w:eastAsia="仿宋" w:cs="Times New Roman"/>
          <w:b/>
          <w:bCs w:val="0"/>
          <w:smallCaps w:val="0"/>
          <w:snapToGrid w:val="0"/>
          <w:color w:val="auto"/>
          <w:spacing w:val="0"/>
          <w:w w:val="100"/>
          <w:kern w:val="0"/>
          <w:sz w:val="24"/>
          <w:szCs w:val="24"/>
          <w:highlight w:val="none"/>
          <w:lang w:val="en-US" w:eastAsia="zh-CN" w:bidi="zh-CN"/>
        </w:rPr>
        <w:t>4</w:t>
      </w:r>
      <w:r>
        <w:rPr>
          <w:rFonts w:hint="default" w:ascii="Times New Roman" w:hAnsi="Times New Roman" w:eastAsia="仿宋" w:cs="Times New Roman"/>
          <w:b/>
          <w:bCs w:val="0"/>
          <w:smallCaps w:val="0"/>
          <w:snapToGrid w:val="0"/>
          <w:color w:val="auto"/>
          <w:spacing w:val="0"/>
          <w:w w:val="100"/>
          <w:kern w:val="0"/>
          <w:sz w:val="24"/>
          <w:szCs w:val="24"/>
          <w:highlight w:val="none"/>
          <w:lang w:val="en-US" w:eastAsia="zh-CN" w:bidi="zh-CN"/>
        </w:rPr>
        <w:t>-</w:t>
      </w:r>
      <w:r>
        <w:rPr>
          <w:rFonts w:hint="eastAsia" w:ascii="Times New Roman" w:hAnsi="Times New Roman" w:eastAsia="仿宋" w:cs="Times New Roman"/>
          <w:b/>
          <w:bCs w:val="0"/>
          <w:smallCaps w:val="0"/>
          <w:snapToGrid w:val="0"/>
          <w:color w:val="auto"/>
          <w:spacing w:val="0"/>
          <w:w w:val="100"/>
          <w:kern w:val="0"/>
          <w:sz w:val="24"/>
          <w:szCs w:val="24"/>
          <w:highlight w:val="none"/>
          <w:lang w:val="en-US" w:eastAsia="zh-CN" w:bidi="zh-CN"/>
        </w:rPr>
        <w:t>1</w:t>
      </w:r>
      <w:r>
        <w:rPr>
          <w:rFonts w:hint="default" w:ascii="Times New Roman" w:hAnsi="Times New Roman" w:eastAsia="仿宋" w:cs="Times New Roman"/>
          <w:b/>
          <w:bCs w:val="0"/>
          <w:smallCaps w:val="0"/>
          <w:snapToGrid w:val="0"/>
          <w:color w:val="auto"/>
          <w:spacing w:val="0"/>
          <w:w w:val="100"/>
          <w:kern w:val="0"/>
          <w:sz w:val="24"/>
          <w:szCs w:val="24"/>
          <w:highlight w:val="none"/>
          <w:lang w:val="en-US" w:eastAsia="zh-CN" w:bidi="zh-CN"/>
        </w:rPr>
        <w:t xml:space="preserve">  涉水风险物质Q值表</w:t>
      </w:r>
    </w:p>
    <w:tbl>
      <w:tblPr>
        <w:tblStyle w:val="16"/>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317"/>
        <w:gridCol w:w="2024"/>
        <w:gridCol w:w="1501"/>
        <w:gridCol w:w="1414"/>
        <w:gridCol w:w="126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360"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bCs w:val="0"/>
                <w:color w:val="auto"/>
                <w:kern w:val="1"/>
                <w:sz w:val="24"/>
                <w:szCs w:val="24"/>
              </w:rPr>
            </w:pPr>
            <w:r>
              <w:rPr>
                <w:rFonts w:hint="default" w:ascii="Times New Roman" w:hAnsi="Times New Roman" w:eastAsia="仿宋" w:cs="Times New Roman"/>
                <w:b/>
                <w:bCs w:val="0"/>
                <w:color w:val="auto"/>
                <w:kern w:val="1"/>
                <w:sz w:val="24"/>
                <w:szCs w:val="24"/>
              </w:rPr>
              <w:t>类别</w:t>
            </w:r>
          </w:p>
        </w:tc>
        <w:tc>
          <w:tcPr>
            <w:tcW w:w="1188"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bCs w:val="0"/>
                <w:color w:val="auto"/>
                <w:kern w:val="1"/>
                <w:sz w:val="24"/>
                <w:szCs w:val="24"/>
              </w:rPr>
            </w:pPr>
            <w:r>
              <w:rPr>
                <w:rFonts w:hint="default" w:ascii="Times New Roman" w:hAnsi="Times New Roman" w:eastAsia="仿宋" w:cs="Times New Roman"/>
                <w:b/>
                <w:bCs w:val="0"/>
                <w:color w:val="auto"/>
                <w:kern w:val="1"/>
                <w:sz w:val="24"/>
                <w:szCs w:val="24"/>
              </w:rPr>
              <w:t>名称</w:t>
            </w:r>
          </w:p>
        </w:tc>
        <w:tc>
          <w:tcPr>
            <w:tcW w:w="881"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bCs w:val="0"/>
                <w:color w:val="auto"/>
                <w:kern w:val="1"/>
                <w:sz w:val="24"/>
                <w:szCs w:val="24"/>
              </w:rPr>
            </w:pPr>
            <w:r>
              <w:rPr>
                <w:rFonts w:hint="default" w:ascii="Times New Roman" w:hAnsi="Times New Roman" w:eastAsia="仿宋" w:cs="Times New Roman"/>
                <w:b/>
                <w:bCs w:val="0"/>
                <w:color w:val="auto"/>
                <w:kern w:val="1"/>
                <w:sz w:val="24"/>
                <w:szCs w:val="24"/>
                <w:lang w:val="en-US" w:eastAsia="zh-CN"/>
              </w:rPr>
              <w:t>最大</w:t>
            </w:r>
            <w:r>
              <w:rPr>
                <w:rFonts w:hint="default" w:ascii="Times New Roman" w:hAnsi="Times New Roman" w:eastAsia="仿宋" w:cs="Times New Roman"/>
                <w:b/>
                <w:bCs w:val="0"/>
                <w:color w:val="auto"/>
                <w:kern w:val="1"/>
                <w:sz w:val="24"/>
                <w:szCs w:val="24"/>
              </w:rPr>
              <w:t>储量（t）</w:t>
            </w:r>
          </w:p>
        </w:tc>
        <w:tc>
          <w:tcPr>
            <w:tcW w:w="830"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bCs w:val="0"/>
                <w:color w:val="auto"/>
                <w:kern w:val="1"/>
                <w:sz w:val="24"/>
                <w:szCs w:val="24"/>
              </w:rPr>
            </w:pPr>
            <w:r>
              <w:rPr>
                <w:rFonts w:hint="default" w:ascii="Times New Roman" w:hAnsi="Times New Roman" w:eastAsia="仿宋" w:cs="Times New Roman"/>
                <w:b/>
                <w:bCs w:val="0"/>
                <w:color w:val="auto"/>
                <w:kern w:val="1"/>
                <w:sz w:val="24"/>
                <w:szCs w:val="24"/>
              </w:rPr>
              <w:t>临界量（t）</w:t>
            </w:r>
          </w:p>
        </w:tc>
        <w:tc>
          <w:tcPr>
            <w:tcW w:w="740"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bCs w:val="0"/>
                <w:color w:val="auto"/>
                <w:kern w:val="1"/>
                <w:sz w:val="24"/>
                <w:szCs w:val="24"/>
              </w:rPr>
            </w:pPr>
            <w:r>
              <w:rPr>
                <w:rFonts w:hint="default" w:ascii="Times New Roman" w:hAnsi="Times New Roman" w:eastAsia="仿宋" w:cs="Times New Roman"/>
                <w:b/>
                <w:bCs w:val="0"/>
                <w:color w:val="auto"/>
                <w:kern w:val="1"/>
                <w:sz w:val="24"/>
                <w:szCs w:val="24"/>
              </w:rPr>
              <w:t>Q</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1360" w:type="pct"/>
            <w:tcBorders>
              <w:tl2br w:val="nil"/>
              <w:tr2bl w:val="nil"/>
            </w:tcBorders>
            <w:noWrap w:val="0"/>
            <w:vAlign w:val="center"/>
          </w:tcPr>
          <w:p>
            <w:pPr>
              <w:pStyle w:val="7"/>
              <w:keepNext w:val="0"/>
              <w:keepLines w:val="0"/>
              <w:pageBreakBefore w:val="0"/>
              <w:widowControl w:val="0"/>
              <w:kinsoku/>
              <w:wordWrap/>
              <w:overflowPunct/>
              <w:topLinePunct w:val="0"/>
              <w:autoSpaceDE w:val="0"/>
              <w:autoSpaceDN w:val="0"/>
              <w:bidi w:val="0"/>
              <w:adjustRightInd/>
              <w:snapToGrid/>
              <w:spacing w:after="0" w:line="240" w:lineRule="auto"/>
              <w:ind w:left="0" w:leftChars="0" w:right="0" w:rightChars="0" w:firstLine="0" w:firstLineChars="0"/>
              <w:jc w:val="center"/>
              <w:textAlignment w:val="auto"/>
              <w:rPr>
                <w:rFonts w:hint="default" w:ascii="Times New Roman" w:hAnsi="Times New Roman" w:eastAsia="仿宋" w:cs="Times New Roman"/>
                <w:b w:val="0"/>
                <w:bCs/>
                <w:color w:val="auto"/>
                <w:kern w:val="1"/>
                <w:sz w:val="24"/>
                <w:szCs w:val="24"/>
                <w:lang w:eastAsia="zh-CN"/>
              </w:rPr>
            </w:pPr>
            <w:r>
              <w:rPr>
                <w:rFonts w:hint="eastAsia" w:ascii="Times New Roman" w:hAnsi="Times New Roman" w:eastAsia="仿宋" w:cs="Times New Roman"/>
                <w:bCs/>
                <w:smallCaps w:val="0"/>
                <w:snapToGrid w:val="0"/>
                <w:color w:val="auto"/>
                <w:spacing w:val="0"/>
                <w:w w:val="100"/>
                <w:kern w:val="0"/>
                <w:sz w:val="24"/>
                <w:szCs w:val="24"/>
                <w:lang w:val="en-US" w:eastAsia="zh-CN" w:bidi="zh-CN"/>
              </w:rPr>
              <w:t>健康危险急性毒性物质（类别2，类别3）</w:t>
            </w:r>
          </w:p>
        </w:tc>
        <w:tc>
          <w:tcPr>
            <w:tcW w:w="1188" w:type="pct"/>
            <w:tcBorders>
              <w:tl2br w:val="nil"/>
              <w:tr2bl w:val="nil"/>
            </w:tcBorders>
            <w:noWrap w:val="0"/>
            <w:vAlign w:val="center"/>
          </w:tcPr>
          <w:p>
            <w:pPr>
              <w:pStyle w:val="7"/>
              <w:keepNext w:val="0"/>
              <w:keepLines w:val="0"/>
              <w:pageBreakBefore w:val="0"/>
              <w:widowControl w:val="0"/>
              <w:kinsoku/>
              <w:wordWrap/>
              <w:overflowPunct/>
              <w:topLinePunct w:val="0"/>
              <w:autoSpaceDE w:val="0"/>
              <w:autoSpaceDN w:val="0"/>
              <w:bidi w:val="0"/>
              <w:adjustRightInd/>
              <w:snapToGrid/>
              <w:spacing w:after="0" w:line="240" w:lineRule="auto"/>
              <w:ind w:left="0" w:leftChars="0" w:right="0" w:rightChars="0" w:firstLine="0" w:firstLineChars="0"/>
              <w:jc w:val="center"/>
              <w:textAlignment w:val="auto"/>
              <w:rPr>
                <w:rFonts w:hint="default" w:ascii="Times New Roman" w:hAnsi="Times New Roman" w:eastAsia="仿宋" w:cs="Times New Roman"/>
                <w:b w:val="0"/>
                <w:bCs/>
                <w:color w:val="auto"/>
                <w:sz w:val="24"/>
                <w:szCs w:val="24"/>
                <w:highlight w:val="none"/>
                <w:lang w:val="en-US" w:eastAsia="zh-CN"/>
              </w:rPr>
            </w:pPr>
            <w:r>
              <w:rPr>
                <w:rFonts w:hint="default" w:ascii="Times New Roman" w:hAnsi="Times New Roman" w:eastAsia="仿宋" w:cs="Times New Roman"/>
                <w:b w:val="0"/>
                <w:bCs/>
                <w:color w:val="auto"/>
                <w:sz w:val="24"/>
                <w:szCs w:val="24"/>
                <w:highlight w:val="none"/>
                <w:lang w:val="en-US" w:eastAsia="zh-CN"/>
              </w:rPr>
              <w:t>废机油、废润滑油、废乳化液</w:t>
            </w:r>
          </w:p>
        </w:tc>
        <w:tc>
          <w:tcPr>
            <w:tcW w:w="881"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val="0"/>
                <w:bCs/>
                <w:color w:val="auto"/>
                <w:kern w:val="1"/>
                <w:sz w:val="24"/>
                <w:szCs w:val="24"/>
                <w:highlight w:val="none"/>
                <w:lang w:val="en-US" w:eastAsia="zh-CN"/>
              </w:rPr>
            </w:pPr>
            <w:r>
              <w:rPr>
                <w:rFonts w:hint="eastAsia" w:ascii="Times New Roman" w:hAnsi="Times New Roman" w:eastAsia="仿宋" w:cs="Times New Roman"/>
                <w:bCs/>
                <w:color w:val="auto"/>
                <w:kern w:val="2"/>
                <w:sz w:val="24"/>
                <w:szCs w:val="24"/>
                <w:highlight w:val="none"/>
                <w:lang w:val="en-US" w:eastAsia="zh-CN" w:bidi="ar-SA"/>
              </w:rPr>
              <w:t>0.75</w:t>
            </w:r>
          </w:p>
        </w:tc>
        <w:tc>
          <w:tcPr>
            <w:tcW w:w="830"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val="0"/>
                <w:bCs/>
                <w:color w:val="auto"/>
                <w:kern w:val="1"/>
                <w:sz w:val="24"/>
                <w:szCs w:val="24"/>
                <w:highlight w:val="none"/>
                <w:lang w:val="en-US" w:eastAsia="zh-CN"/>
              </w:rPr>
            </w:pPr>
            <w:r>
              <w:rPr>
                <w:rFonts w:hint="eastAsia" w:ascii="Times New Roman" w:hAnsi="Times New Roman" w:eastAsia="仿宋" w:cs="Times New Roman"/>
                <w:b w:val="0"/>
                <w:bCs/>
                <w:color w:val="auto"/>
                <w:kern w:val="1"/>
                <w:sz w:val="24"/>
                <w:szCs w:val="24"/>
                <w:highlight w:val="none"/>
                <w:lang w:val="en-US" w:eastAsia="zh-CN"/>
              </w:rPr>
              <w:t>50</w:t>
            </w:r>
          </w:p>
        </w:tc>
        <w:tc>
          <w:tcPr>
            <w:tcW w:w="740" w:type="pct"/>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val="0"/>
                <w:bCs/>
                <w:color w:val="auto"/>
                <w:kern w:val="1"/>
                <w:sz w:val="24"/>
                <w:szCs w:val="24"/>
                <w:highlight w:val="none"/>
                <w:lang w:val="en-US" w:eastAsia="zh-CN"/>
              </w:rPr>
            </w:pPr>
            <w:r>
              <w:rPr>
                <w:rFonts w:hint="eastAsia" w:ascii="Times New Roman" w:hAnsi="Times New Roman" w:eastAsia="仿宋" w:cs="Times New Roman"/>
                <w:b w:val="0"/>
                <w:bCs/>
                <w:color w:val="auto"/>
                <w:kern w:val="1"/>
                <w:sz w:val="24"/>
                <w:szCs w:val="24"/>
                <w:highlight w:val="none"/>
                <w:lang w:val="en-US" w:eastAsia="zh-CN"/>
              </w:rPr>
              <w:t>0.015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4259" w:type="pct"/>
            <w:gridSpan w:val="4"/>
            <w:tcBorders>
              <w:tl2br w:val="nil"/>
              <w:tr2bl w:val="nil"/>
            </w:tcBorders>
            <w:noWrap w:val="0"/>
            <w:vAlign w:val="center"/>
          </w:tcPr>
          <w:p>
            <w:pPr>
              <w:keepNext w:val="0"/>
              <w:keepLines w:val="0"/>
              <w:pageBreakBefore w:val="0"/>
              <w:widowControl w:val="0"/>
              <w:kinsoku/>
              <w:wordWrap/>
              <w:overflowPunct w:val="0"/>
              <w:topLinePunct w:val="0"/>
              <w:autoSpaceDE w:val="0"/>
              <w:autoSpaceDN w:val="0"/>
              <w:bidi w:val="0"/>
              <w:adjustRightInd w:val="0"/>
              <w:snapToGrid w:val="0"/>
              <w:spacing w:line="240" w:lineRule="auto"/>
              <w:ind w:left="0" w:leftChars="0" w:right="0" w:rightChars="0" w:firstLine="0" w:firstLineChars="0"/>
              <w:jc w:val="center"/>
              <w:rPr>
                <w:rFonts w:hint="default" w:ascii="Times New Roman" w:hAnsi="Times New Roman" w:eastAsia="仿宋" w:cs="Times New Roman"/>
                <w:b w:val="0"/>
                <w:bCs/>
                <w:color w:val="auto"/>
                <w:kern w:val="1"/>
                <w:sz w:val="24"/>
                <w:szCs w:val="24"/>
                <w:highlight w:val="yellow"/>
              </w:rPr>
            </w:pPr>
            <w:r>
              <w:rPr>
                <w:rFonts w:hint="default" w:ascii="Times New Roman" w:hAnsi="Times New Roman" w:eastAsia="仿宋" w:cs="Times New Roman"/>
                <w:b w:val="0"/>
                <w:bCs/>
                <w:color w:val="auto"/>
                <w:kern w:val="1"/>
                <w:sz w:val="24"/>
                <w:szCs w:val="24"/>
                <w:highlight w:val="none"/>
              </w:rPr>
              <w:t>合计</w:t>
            </w:r>
          </w:p>
        </w:tc>
        <w:tc>
          <w:tcPr>
            <w:tcW w:w="740" w:type="pct"/>
            <w:tcBorders>
              <w:tl2br w:val="nil"/>
              <w:tr2bl w:val="nil"/>
            </w:tcBorders>
            <w:noWrap w:val="0"/>
            <w:vAlign w:val="center"/>
          </w:tcPr>
          <w:p>
            <w:pPr>
              <w:keepNext w:val="0"/>
              <w:keepLines w:val="0"/>
              <w:pageBreakBefore w:val="0"/>
              <w:widowControl w:val="0"/>
              <w:kinsoku/>
              <w:wordWrap/>
              <w:topLinePunct w:val="0"/>
              <w:autoSpaceDE w:val="0"/>
              <w:autoSpaceDN w:val="0"/>
              <w:bidi w:val="0"/>
              <w:adjustRightInd w:val="0"/>
              <w:snapToGrid w:val="0"/>
              <w:spacing w:line="240" w:lineRule="auto"/>
              <w:ind w:left="0" w:leftChars="0" w:right="0" w:rightChars="0" w:firstLine="0" w:firstLineChars="0"/>
              <w:jc w:val="center"/>
              <w:textAlignment w:val="center"/>
              <w:rPr>
                <w:rFonts w:hint="default" w:ascii="Times New Roman" w:hAnsi="Times New Roman" w:eastAsia="仿宋" w:cs="Times New Roman"/>
                <w:b w:val="0"/>
                <w:bCs/>
                <w:color w:val="auto"/>
                <w:kern w:val="1"/>
                <w:sz w:val="24"/>
                <w:szCs w:val="24"/>
                <w:highlight w:val="none"/>
                <w:lang w:val="en-US" w:eastAsia="zh-CN"/>
              </w:rPr>
            </w:pPr>
            <w:r>
              <w:rPr>
                <w:rFonts w:hint="eastAsia" w:ascii="Times New Roman" w:hAnsi="Times New Roman" w:eastAsia="仿宋" w:cs="Times New Roman"/>
                <w:b w:val="0"/>
                <w:bCs/>
                <w:color w:val="auto"/>
                <w:kern w:val="1"/>
                <w:sz w:val="24"/>
                <w:szCs w:val="24"/>
                <w:highlight w:val="none"/>
                <w:lang w:val="en-US" w:eastAsia="zh-CN"/>
              </w:rPr>
              <w:t>0.015</w:t>
            </w:r>
          </w:p>
        </w:tc>
      </w:tr>
    </w:tbl>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8"/>
          <w:szCs w:val="28"/>
          <w:lang w:eastAsia="zh-CN"/>
        </w:rPr>
        <w:t>由上表可知</w:t>
      </w:r>
      <w:r>
        <w:rPr>
          <w:rFonts w:hint="default" w:ascii="Times New Roman" w:hAnsi="Times New Roman" w:eastAsia="仿宋" w:cs="Times New Roman"/>
          <w:color w:val="auto"/>
          <w:sz w:val="28"/>
          <w:szCs w:val="28"/>
        </w:rPr>
        <w:t>本项目</w:t>
      </w:r>
      <w:r>
        <w:rPr>
          <w:rFonts w:hint="default" w:ascii="Times New Roman" w:hAnsi="Times New Roman" w:eastAsia="仿宋" w:cs="Times New Roman"/>
          <w:color w:val="auto"/>
          <w:sz w:val="28"/>
          <w:szCs w:val="28"/>
          <w:lang w:eastAsia="zh-CN"/>
        </w:rPr>
        <w:t>涉水风险物质</w:t>
      </w:r>
      <w:r>
        <w:rPr>
          <w:rFonts w:hint="default" w:ascii="Times New Roman" w:hAnsi="Times New Roman" w:eastAsia="仿宋" w:cs="Times New Roman"/>
          <w:color w:val="auto"/>
          <w:sz w:val="28"/>
          <w:szCs w:val="28"/>
        </w:rPr>
        <w:t>Q＜1，根据《企业突发环境事件风险分级方法》HJ</w:t>
      </w:r>
      <w:r>
        <w:rPr>
          <w:rFonts w:hint="default" w:ascii="Times New Roman" w:hAnsi="Times New Roman" w:eastAsia="仿宋" w:cs="Times New Roman"/>
          <w:color w:val="auto"/>
          <w:sz w:val="28"/>
          <w:szCs w:val="28"/>
          <w:lang w:val="en-US" w:eastAsia="zh-CN"/>
        </w:rPr>
        <w:t xml:space="preserve"> </w:t>
      </w:r>
      <w:r>
        <w:rPr>
          <w:rFonts w:hint="default" w:ascii="Times New Roman" w:hAnsi="Times New Roman" w:eastAsia="仿宋" w:cs="Times New Roman"/>
          <w:color w:val="auto"/>
          <w:sz w:val="28"/>
          <w:szCs w:val="28"/>
        </w:rPr>
        <w:t>941-2018规定，企业的</w:t>
      </w:r>
      <w:r>
        <w:rPr>
          <w:rFonts w:hint="default" w:ascii="Times New Roman" w:hAnsi="Times New Roman" w:eastAsia="仿宋" w:cs="Times New Roman"/>
          <w:color w:val="auto"/>
          <w:sz w:val="28"/>
          <w:szCs w:val="28"/>
          <w:lang w:eastAsia="zh-CN"/>
        </w:rPr>
        <w:t>突发水</w:t>
      </w:r>
      <w:r>
        <w:rPr>
          <w:rFonts w:hint="default" w:ascii="Times New Roman" w:hAnsi="Times New Roman" w:eastAsia="仿宋" w:cs="Times New Roman"/>
          <w:color w:val="auto"/>
          <w:sz w:val="28"/>
          <w:szCs w:val="28"/>
        </w:rPr>
        <w:t>环境</w:t>
      </w:r>
      <w:r>
        <w:rPr>
          <w:rFonts w:hint="default" w:ascii="Times New Roman" w:hAnsi="Times New Roman" w:eastAsia="仿宋" w:cs="Times New Roman"/>
          <w:color w:val="auto"/>
          <w:sz w:val="28"/>
          <w:szCs w:val="28"/>
          <w:lang w:eastAsia="zh-CN"/>
        </w:rPr>
        <w:t>事件</w:t>
      </w:r>
      <w:r>
        <w:rPr>
          <w:rFonts w:hint="default" w:ascii="Times New Roman" w:hAnsi="Times New Roman" w:eastAsia="仿宋" w:cs="Times New Roman"/>
          <w:color w:val="auto"/>
          <w:sz w:val="28"/>
          <w:szCs w:val="28"/>
        </w:rPr>
        <w:t>风险等级</w:t>
      </w:r>
      <w:r>
        <w:rPr>
          <w:rFonts w:hint="default" w:ascii="Times New Roman" w:hAnsi="Times New Roman" w:eastAsia="仿宋" w:cs="Times New Roman"/>
          <w:color w:val="auto"/>
          <w:sz w:val="28"/>
          <w:szCs w:val="28"/>
          <w:lang w:eastAsia="zh-CN"/>
        </w:rPr>
        <w:t>直接评</w:t>
      </w:r>
      <w:r>
        <w:rPr>
          <w:rFonts w:hint="default" w:ascii="Times New Roman" w:hAnsi="Times New Roman" w:eastAsia="仿宋" w:cs="Times New Roman"/>
          <w:color w:val="auto"/>
          <w:sz w:val="28"/>
          <w:szCs w:val="28"/>
        </w:rPr>
        <w:t>为一般环境风险等级。表</w:t>
      </w:r>
      <w:r>
        <w:rPr>
          <w:rFonts w:hint="default" w:ascii="Times New Roman" w:hAnsi="Times New Roman" w:eastAsia="仿宋" w:cs="Times New Roman"/>
          <w:color w:val="auto"/>
          <w:sz w:val="28"/>
          <w:szCs w:val="28"/>
          <w:lang w:eastAsia="zh-CN"/>
        </w:rPr>
        <w:t>征</w:t>
      </w:r>
      <w:r>
        <w:rPr>
          <w:rFonts w:hint="default" w:ascii="Times New Roman" w:hAnsi="Times New Roman" w:eastAsia="仿宋" w:cs="Times New Roman"/>
          <w:color w:val="auto"/>
          <w:sz w:val="28"/>
          <w:szCs w:val="28"/>
        </w:rPr>
        <w:t>为“一般-</w:t>
      </w:r>
      <w:r>
        <w:rPr>
          <w:rFonts w:hint="default" w:ascii="Times New Roman" w:hAnsi="Times New Roman" w:eastAsia="仿宋" w:cs="Times New Roman"/>
          <w:color w:val="auto"/>
          <w:sz w:val="28"/>
          <w:szCs w:val="28"/>
          <w:lang w:eastAsia="zh-CN"/>
        </w:rPr>
        <w:t>水</w:t>
      </w:r>
      <w:r>
        <w:rPr>
          <w:rFonts w:hint="default" w:ascii="Times New Roman" w:hAnsi="Times New Roman" w:eastAsia="仿宋" w:cs="Times New Roman"/>
          <w:color w:val="auto"/>
          <w:sz w:val="28"/>
          <w:szCs w:val="28"/>
        </w:rPr>
        <w:t>（Q0）”。</w:t>
      </w:r>
    </w:p>
    <w:bookmarkEnd w:id="531"/>
    <w:bookmarkEnd w:id="544"/>
    <w:bookmarkEnd w:id="545"/>
    <w:bookmarkEnd w:id="546"/>
    <w:bookmarkEnd w:id="547"/>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0" w:firstLineChars="0"/>
        <w:jc w:val="center"/>
        <w:textAlignment w:val="auto"/>
        <w:rPr>
          <w:rFonts w:hint="eastAsia" w:ascii="Times New Roman" w:hAnsi="Times New Roman" w:eastAsia="仿宋" w:cs="Times New Roman"/>
          <w:color w:val="auto"/>
          <w:sz w:val="30"/>
          <w:szCs w:val="30"/>
          <w:lang w:eastAsia="zh-CN"/>
        </w:rPr>
      </w:pPr>
      <w:bookmarkStart w:id="586" w:name="_Toc15225"/>
      <w:bookmarkStart w:id="587" w:name="_Toc25203"/>
      <w:bookmarkStart w:id="588" w:name="_Toc28446_WPSOffice_Level1"/>
      <w:bookmarkStart w:id="589" w:name="_Toc5778"/>
      <w:bookmarkStart w:id="590" w:name="_Toc14969"/>
      <w:bookmarkStart w:id="591" w:name="_Toc9882_WPSOffice_Level1"/>
      <w:bookmarkStart w:id="592" w:name="_Toc15747"/>
      <w:bookmarkStart w:id="593" w:name="_Toc31392"/>
      <w:bookmarkStart w:id="594" w:name="_Toc12524_WPSOffice_Level1"/>
      <w:bookmarkStart w:id="595" w:name="_Toc16617"/>
      <w:bookmarkStart w:id="596" w:name="_Toc254_WPSOffice_Level1"/>
      <w:bookmarkStart w:id="597" w:name="_Toc17732497"/>
      <w:bookmarkStart w:id="598" w:name="_Toc524645566"/>
    </w:p>
    <w:p>
      <w:pPr>
        <w:rPr>
          <w:rFonts w:hint="eastAsia"/>
          <w:color w:val="auto"/>
          <w:lang w:eastAsia="zh-CN"/>
        </w:rPr>
      </w:pP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0" w:firstLineChars="0"/>
        <w:jc w:val="center"/>
        <w:textAlignment w:val="auto"/>
        <w:rPr>
          <w:rFonts w:hint="default" w:ascii="Times New Roman" w:hAnsi="Times New Roman" w:eastAsia="仿宋" w:cs="Times New Roman"/>
          <w:color w:val="auto"/>
          <w:sz w:val="30"/>
          <w:szCs w:val="30"/>
        </w:rPr>
      </w:pP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0" w:firstLineChars="0"/>
        <w:jc w:val="center"/>
        <w:textAlignment w:val="auto"/>
        <w:rPr>
          <w:rFonts w:hint="default" w:ascii="Times New Roman" w:hAnsi="Times New Roman" w:eastAsia="仿宋" w:cs="Times New Roman"/>
          <w:color w:val="auto"/>
          <w:sz w:val="30"/>
          <w:szCs w:val="30"/>
        </w:rPr>
      </w:pP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0" w:firstLineChars="0"/>
        <w:jc w:val="center"/>
        <w:textAlignment w:val="auto"/>
        <w:rPr>
          <w:rFonts w:hint="default" w:ascii="Times New Roman" w:hAnsi="Times New Roman" w:eastAsia="仿宋" w:cs="Times New Roman"/>
          <w:color w:val="auto"/>
          <w:sz w:val="30"/>
          <w:szCs w:val="30"/>
        </w:rPr>
      </w:pP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0" w:firstLineChars="0"/>
        <w:jc w:val="center"/>
        <w:textAlignment w:val="auto"/>
        <w:rPr>
          <w:rFonts w:hint="default" w:ascii="Times New Roman" w:hAnsi="Times New Roman" w:eastAsia="仿宋" w:cs="Times New Roman"/>
          <w:color w:val="auto"/>
          <w:sz w:val="30"/>
          <w:szCs w:val="30"/>
        </w:rPr>
      </w:pPr>
    </w:p>
    <w:p>
      <w:pPr>
        <w:pStyle w:val="3"/>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0" w:firstLineChars="0"/>
        <w:jc w:val="center"/>
        <w:textAlignment w:val="auto"/>
        <w:rPr>
          <w:rFonts w:hint="default" w:ascii="Times New Roman" w:hAnsi="Times New Roman" w:eastAsia="仿宋" w:cs="Times New Roman"/>
          <w:color w:val="auto"/>
          <w:sz w:val="30"/>
          <w:szCs w:val="30"/>
        </w:rPr>
      </w:pPr>
      <w:bookmarkStart w:id="599" w:name="_Toc11526"/>
      <w:r>
        <w:rPr>
          <w:rFonts w:hint="default" w:ascii="Times New Roman" w:hAnsi="Times New Roman" w:eastAsia="仿宋" w:cs="Times New Roman"/>
          <w:color w:val="auto"/>
          <w:sz w:val="30"/>
          <w:szCs w:val="30"/>
        </w:rPr>
        <w:t>8</w:t>
      </w:r>
      <w:r>
        <w:rPr>
          <w:rFonts w:hint="default" w:ascii="Times New Roman" w:hAnsi="Times New Roman" w:eastAsia="仿宋" w:cs="Times New Roman"/>
          <w:color w:val="auto"/>
          <w:sz w:val="30"/>
          <w:szCs w:val="30"/>
          <w:lang w:eastAsia="zh-CN"/>
        </w:rPr>
        <w:t>企业</w:t>
      </w:r>
      <w:r>
        <w:rPr>
          <w:rFonts w:hint="default" w:ascii="Times New Roman" w:hAnsi="Times New Roman" w:eastAsia="仿宋" w:cs="Times New Roman"/>
          <w:color w:val="auto"/>
          <w:sz w:val="30"/>
          <w:szCs w:val="30"/>
        </w:rPr>
        <w:t>突发环境事件风险等级确定与调整</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p>
    <w:p>
      <w:pPr>
        <w:pStyle w:val="2"/>
        <w:keepNext/>
        <w:keepLines/>
        <w:pageBreakBefore w:val="0"/>
        <w:widowControl w:val="0"/>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color w:val="auto"/>
          <w:sz w:val="28"/>
          <w:szCs w:val="28"/>
        </w:rPr>
      </w:pPr>
      <w:bookmarkStart w:id="600" w:name="_Toc31299_WPSOffice_Level1"/>
      <w:bookmarkStart w:id="601" w:name="_Toc31733"/>
      <w:bookmarkStart w:id="602" w:name="_Toc20444"/>
      <w:bookmarkStart w:id="603" w:name="_Toc9550"/>
      <w:bookmarkStart w:id="604" w:name="_Toc19774_WPSOffice_Level1"/>
      <w:bookmarkStart w:id="605" w:name="_Toc524645567"/>
      <w:bookmarkStart w:id="606" w:name="_Toc31268"/>
      <w:bookmarkStart w:id="607" w:name="_Toc3851"/>
      <w:bookmarkStart w:id="608" w:name="_Toc25616_WPSOffice_Level1"/>
      <w:bookmarkStart w:id="609" w:name="_Toc17732498"/>
      <w:bookmarkStart w:id="610" w:name="_Toc24620"/>
      <w:bookmarkStart w:id="611" w:name="_Toc11137"/>
      <w:bookmarkStart w:id="612" w:name="_Toc21531"/>
      <w:bookmarkStart w:id="613" w:name="_Toc22104"/>
      <w:bookmarkStart w:id="614" w:name="_Toc512_WPSOffice_Level1"/>
      <w:r>
        <w:rPr>
          <w:rFonts w:hint="default" w:ascii="Times New Roman" w:hAnsi="Times New Roman" w:eastAsia="仿宋" w:cs="Times New Roman"/>
          <w:color w:val="auto"/>
          <w:sz w:val="28"/>
          <w:szCs w:val="28"/>
        </w:rPr>
        <w:t>8.1 风险等级确定</w:t>
      </w:r>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以企业突发大气环境事件风险和突发水环境事件风险等级高者确定突发环境事件风险等级。</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企业突发大气环境事件风险等级为“一般-大气（Q</w:t>
      </w:r>
      <w:r>
        <w:rPr>
          <w:rFonts w:hint="default" w:ascii="Times New Roman" w:hAnsi="Times New Roman" w:eastAsia="仿宋" w:cs="Times New Roman"/>
          <w:color w:val="auto"/>
          <w:sz w:val="28"/>
          <w:szCs w:val="28"/>
          <w:vertAlign w:val="subscript"/>
        </w:rPr>
        <w:t>0</w:t>
      </w:r>
      <w:r>
        <w:rPr>
          <w:rFonts w:hint="default" w:ascii="Times New Roman" w:hAnsi="Times New Roman" w:eastAsia="仿宋" w:cs="Times New Roman"/>
          <w:color w:val="auto"/>
          <w:sz w:val="28"/>
          <w:szCs w:val="28"/>
        </w:rPr>
        <w:t>）”，突发水环境事件风险等级为“一般-水（Q</w:t>
      </w:r>
      <w:r>
        <w:rPr>
          <w:rFonts w:hint="default" w:ascii="Times New Roman" w:hAnsi="Times New Roman" w:eastAsia="仿宋" w:cs="Times New Roman"/>
          <w:color w:val="auto"/>
          <w:sz w:val="28"/>
          <w:szCs w:val="28"/>
          <w:vertAlign w:val="subscript"/>
        </w:rPr>
        <w:t>0</w:t>
      </w:r>
      <w:r>
        <w:rPr>
          <w:rFonts w:hint="default" w:ascii="Times New Roman" w:hAnsi="Times New Roman" w:eastAsia="仿宋" w:cs="Times New Roman"/>
          <w:color w:val="auto"/>
          <w:sz w:val="28"/>
          <w:szCs w:val="28"/>
        </w:rPr>
        <w:t>）”，因此企业突发环境事件风险等级确定为“一般”。</w:t>
      </w:r>
    </w:p>
    <w:p>
      <w:pPr>
        <w:pStyle w:val="2"/>
        <w:outlineLvl w:val="0"/>
        <w:rPr>
          <w:rFonts w:hint="default" w:ascii="Times New Roman" w:hAnsi="Times New Roman" w:eastAsia="仿宋" w:cs="Times New Roman"/>
          <w:color w:val="auto"/>
          <w:sz w:val="28"/>
          <w:szCs w:val="28"/>
        </w:rPr>
      </w:pPr>
      <w:bookmarkStart w:id="615" w:name="_Toc15075"/>
      <w:bookmarkStart w:id="616" w:name="_Toc1991"/>
      <w:bookmarkStart w:id="617" w:name="_Toc31772_WPSOffice_Level1"/>
      <w:bookmarkStart w:id="618" w:name="_Toc16724_WPSOffice_Level1"/>
      <w:bookmarkStart w:id="619" w:name="_Toc17732499"/>
      <w:bookmarkStart w:id="620" w:name="_Toc21656"/>
      <w:bookmarkStart w:id="621" w:name="_Toc524645568"/>
      <w:bookmarkStart w:id="622" w:name="_Toc27623"/>
      <w:bookmarkStart w:id="623" w:name="_Toc18242"/>
      <w:bookmarkStart w:id="624" w:name="_Toc2574_WPSOffice_Level1"/>
      <w:bookmarkStart w:id="625" w:name="_Toc4205"/>
      <w:bookmarkStart w:id="626" w:name="_Toc21100"/>
      <w:bookmarkStart w:id="627" w:name="_Toc20643_WPSOffice_Level1"/>
      <w:bookmarkStart w:id="628" w:name="_Toc13092"/>
      <w:bookmarkStart w:id="629" w:name="_Toc17496"/>
      <w:r>
        <w:rPr>
          <w:rFonts w:hint="default" w:ascii="Times New Roman" w:hAnsi="Times New Roman" w:eastAsia="仿宋" w:cs="Times New Roman"/>
          <w:color w:val="auto"/>
          <w:sz w:val="28"/>
          <w:szCs w:val="28"/>
        </w:rPr>
        <w:t>8.2 风险等级调整</w:t>
      </w:r>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近三年内因违法排放污染物、非法转移处置危险废物等行为受到环境保护主管部门处罚的，在已评定的突发环境事件风险等级基础上调高一级，最高等级为重大。</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本企业近三年内未因违法排放污染物、非法转移处置危险废物等行为受到环境保护主管部门处罚，不涉及风险等级调整。</w:t>
      </w:r>
    </w:p>
    <w:p>
      <w:pPr>
        <w:pStyle w:val="2"/>
        <w:outlineLvl w:val="0"/>
        <w:rPr>
          <w:rFonts w:hint="default" w:ascii="Times New Roman" w:hAnsi="Times New Roman" w:eastAsia="仿宋" w:cs="Times New Roman"/>
          <w:color w:val="auto"/>
          <w:sz w:val="28"/>
          <w:szCs w:val="28"/>
        </w:rPr>
      </w:pPr>
      <w:bookmarkStart w:id="630" w:name="_Toc1530"/>
      <w:bookmarkStart w:id="631" w:name="_Toc17732500"/>
      <w:bookmarkStart w:id="632" w:name="_Toc16920_WPSOffice_Level1"/>
      <w:bookmarkStart w:id="633" w:name="_Toc524645569"/>
      <w:bookmarkStart w:id="634" w:name="_Toc11239_WPSOffice_Level1"/>
      <w:bookmarkStart w:id="635" w:name="_Toc23296"/>
      <w:bookmarkStart w:id="636" w:name="_Toc27464"/>
      <w:bookmarkStart w:id="637" w:name="_Toc7551"/>
      <w:bookmarkStart w:id="638" w:name="_Toc2213"/>
      <w:bookmarkStart w:id="639" w:name="_Toc27669"/>
      <w:bookmarkStart w:id="640" w:name="_Toc16167"/>
      <w:bookmarkStart w:id="641" w:name="_Toc14481_WPSOffice_Level1"/>
      <w:bookmarkStart w:id="642" w:name="_Toc15634_WPSOffice_Level1"/>
      <w:bookmarkStart w:id="643" w:name="_Toc1566"/>
      <w:bookmarkStart w:id="644" w:name="_Toc577"/>
      <w:r>
        <w:rPr>
          <w:rFonts w:hint="default" w:ascii="Times New Roman" w:hAnsi="Times New Roman" w:eastAsia="仿宋" w:cs="Times New Roman"/>
          <w:color w:val="auto"/>
          <w:sz w:val="28"/>
          <w:szCs w:val="28"/>
        </w:rPr>
        <w:t>8.3 风险等级表征</w:t>
      </w:r>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8"/>
          <w:szCs w:val="28"/>
        </w:rPr>
        <w:t>企业突发环境事件等级为“一般[一般-大气（Q0）+一般-水（Q0）]”。</w:t>
      </w:r>
      <w:bookmarkStart w:id="645" w:name="_Toc15890_WPSOffice_Level2"/>
    </w:p>
    <w:p>
      <w:pPr>
        <w:pStyle w:val="3"/>
        <w:rPr>
          <w:rFonts w:hint="default" w:ascii="Times New Roman" w:hAnsi="Times New Roman" w:eastAsia="仿宋" w:cs="Times New Roman"/>
          <w:color w:val="auto"/>
          <w:sz w:val="30"/>
          <w:szCs w:val="30"/>
        </w:rPr>
      </w:pPr>
      <w:bookmarkStart w:id="646" w:name="_Toc4307"/>
      <w:bookmarkStart w:id="647" w:name="_Toc15863"/>
      <w:bookmarkStart w:id="648" w:name="_Toc3723"/>
      <w:bookmarkStart w:id="649" w:name="_Toc7193"/>
      <w:bookmarkStart w:id="650" w:name="_Toc17732501"/>
      <w:r>
        <w:rPr>
          <w:rFonts w:hint="default" w:ascii="Times New Roman" w:hAnsi="Times New Roman" w:eastAsia="仿宋" w:cs="Times New Roman"/>
          <w:color w:val="auto"/>
          <w:sz w:val="30"/>
          <w:szCs w:val="30"/>
        </w:rPr>
        <w:br w:type="page"/>
      </w:r>
      <w:bookmarkStart w:id="651" w:name="_Toc28124"/>
      <w:bookmarkStart w:id="652" w:name="_Toc16028"/>
      <w:bookmarkStart w:id="653" w:name="_Toc5984"/>
      <w:r>
        <w:rPr>
          <w:rFonts w:hint="default" w:ascii="Times New Roman" w:hAnsi="Times New Roman" w:eastAsia="仿宋" w:cs="Times New Roman"/>
          <w:color w:val="auto"/>
          <w:sz w:val="30"/>
          <w:szCs w:val="30"/>
        </w:rPr>
        <w:t>9</w:t>
      </w:r>
      <w:r>
        <w:rPr>
          <w:rFonts w:hint="default" w:ascii="Times New Roman" w:hAnsi="Times New Roman" w:eastAsia="仿宋" w:cs="Times New Roman"/>
          <w:color w:val="auto"/>
          <w:sz w:val="30"/>
          <w:szCs w:val="30"/>
          <w:lang w:eastAsia="zh-CN"/>
        </w:rPr>
        <w:t xml:space="preserve"> </w:t>
      </w:r>
      <w:r>
        <w:rPr>
          <w:rFonts w:hint="default" w:ascii="Times New Roman" w:hAnsi="Times New Roman" w:eastAsia="仿宋" w:cs="Times New Roman"/>
          <w:color w:val="auto"/>
          <w:sz w:val="30"/>
          <w:szCs w:val="30"/>
        </w:rPr>
        <w:t>附图</w:t>
      </w:r>
      <w:bookmarkEnd w:id="645"/>
      <w:bookmarkEnd w:id="646"/>
      <w:bookmarkEnd w:id="647"/>
      <w:bookmarkEnd w:id="648"/>
      <w:bookmarkEnd w:id="649"/>
      <w:bookmarkEnd w:id="650"/>
      <w:bookmarkEnd w:id="651"/>
      <w:bookmarkEnd w:id="652"/>
      <w:bookmarkEnd w:id="653"/>
    </w:p>
    <w:p>
      <w:pPr>
        <w:pStyle w:val="14"/>
        <w:outlineLvl w:val="0"/>
        <w:rPr>
          <w:rFonts w:hint="default" w:ascii="Times New Roman" w:hAnsi="Times New Roman" w:eastAsia="仿宋" w:cs="Times New Roman"/>
          <w:color w:val="auto"/>
          <w:sz w:val="28"/>
          <w:szCs w:val="28"/>
          <w:lang w:val="en-US" w:eastAsia="zh-CN"/>
        </w:rPr>
      </w:pPr>
      <w:bookmarkStart w:id="654" w:name="_Toc21239"/>
      <w:bookmarkStart w:id="655" w:name="_Toc31664"/>
      <w:bookmarkStart w:id="656" w:name="_Toc11334"/>
      <w:r>
        <w:rPr>
          <w:rFonts w:hint="default" w:ascii="Times New Roman" w:hAnsi="Times New Roman" w:eastAsia="仿宋" w:cs="Times New Roman"/>
          <w:color w:val="auto"/>
          <w:sz w:val="28"/>
          <w:szCs w:val="28"/>
          <w:lang w:eastAsia="zh-CN"/>
        </w:rPr>
        <w:t>附图</w:t>
      </w:r>
      <w:r>
        <w:rPr>
          <w:rFonts w:hint="default" w:ascii="Times New Roman" w:hAnsi="Times New Roman" w:eastAsia="仿宋" w:cs="Times New Roman"/>
          <w:color w:val="auto"/>
          <w:sz w:val="28"/>
          <w:szCs w:val="28"/>
          <w:lang w:val="en-US" w:eastAsia="zh-CN"/>
        </w:rPr>
        <w:t>1 项目地理位置图</w:t>
      </w:r>
      <w:bookmarkEnd w:id="654"/>
      <w:bookmarkEnd w:id="655"/>
      <w:bookmarkEnd w:id="656"/>
    </w:p>
    <w:p>
      <w:pPr>
        <w:pStyle w:val="14"/>
        <w:outlineLvl w:val="0"/>
        <w:rPr>
          <w:rFonts w:hint="default" w:ascii="Times New Roman" w:hAnsi="Times New Roman" w:eastAsia="仿宋" w:cs="Times New Roman"/>
          <w:color w:val="auto"/>
          <w:sz w:val="28"/>
          <w:szCs w:val="28"/>
          <w:lang w:val="en-US" w:eastAsia="zh-CN"/>
        </w:rPr>
      </w:pPr>
      <w:bookmarkStart w:id="657" w:name="_Toc11462"/>
      <w:bookmarkStart w:id="658" w:name="_Toc3530"/>
      <w:bookmarkStart w:id="659" w:name="_Toc10666"/>
      <w:r>
        <w:rPr>
          <w:rFonts w:hint="default" w:ascii="Times New Roman" w:hAnsi="Times New Roman" w:eastAsia="仿宋" w:cs="Times New Roman"/>
          <w:color w:val="auto"/>
          <w:sz w:val="28"/>
          <w:szCs w:val="28"/>
          <w:lang w:val="en-US" w:eastAsia="zh-CN"/>
        </w:rPr>
        <w:t>附图2 项目风险源分部图</w:t>
      </w:r>
      <w:bookmarkEnd w:id="657"/>
      <w:bookmarkEnd w:id="658"/>
      <w:bookmarkEnd w:id="659"/>
    </w:p>
    <w:p>
      <w:pPr>
        <w:pStyle w:val="14"/>
        <w:outlineLvl w:val="0"/>
        <w:rPr>
          <w:rFonts w:hint="default" w:ascii="Times New Roman" w:hAnsi="Times New Roman" w:eastAsia="仿宋" w:cs="Times New Roman"/>
          <w:color w:val="auto"/>
          <w:lang w:val="en-US" w:eastAsia="zh-CN"/>
        </w:rPr>
        <w:sectPr>
          <w:pgSz w:w="11906" w:h="16838"/>
          <w:pgMar w:top="1304" w:right="1800" w:bottom="1304" w:left="1800" w:header="851" w:footer="992" w:gutter="0"/>
          <w:pgBorders>
            <w:top w:val="none" w:sz="0" w:space="0"/>
            <w:left w:val="none" w:sz="0" w:space="0"/>
            <w:bottom w:val="none" w:sz="0" w:space="0"/>
            <w:right w:val="none" w:sz="0" w:space="0"/>
          </w:pgBorders>
          <w:pgNumType w:fmt="decimal"/>
          <w:cols w:space="720" w:num="1"/>
          <w:docGrid w:type="linesAndChars" w:linePitch="312" w:charSpace="0"/>
        </w:sectPr>
      </w:pPr>
      <w:bookmarkStart w:id="660" w:name="_Toc18540"/>
      <w:bookmarkStart w:id="661" w:name="_Toc3447"/>
      <w:bookmarkStart w:id="662" w:name="_Toc32324"/>
      <w:r>
        <w:rPr>
          <w:rFonts w:hint="default" w:ascii="Times New Roman" w:hAnsi="Times New Roman" w:eastAsia="仿宋" w:cs="Times New Roman"/>
          <w:color w:val="auto"/>
          <w:sz w:val="28"/>
          <w:szCs w:val="28"/>
          <w:lang w:val="en-US" w:eastAsia="zh-CN"/>
        </w:rPr>
        <w:t>附图3 项目位置及周边敏感点分部</w:t>
      </w:r>
      <w:bookmarkEnd w:id="660"/>
      <w:bookmarkEnd w:id="661"/>
      <w:bookmarkEnd w:id="662"/>
    </w:p>
    <w:p>
      <w:pPr>
        <w:pStyle w:val="2"/>
        <w:ind w:left="0" w:leftChars="0" w:firstLine="0" w:firstLineChars="0"/>
        <w:outlineLvl w:val="0"/>
        <w:rPr>
          <w:rFonts w:hint="eastAsia"/>
          <w:color w:val="auto"/>
          <w:lang w:val="en-US" w:eastAsia="zh-CN"/>
        </w:rPr>
      </w:pPr>
      <w:bookmarkStart w:id="663" w:name="_Toc6821"/>
      <w:r>
        <w:rPr>
          <w:rFonts w:hint="default" w:ascii="Times New Roman" w:hAnsi="Times New Roman" w:eastAsia="仿宋" w:cs="Times New Roman"/>
          <w:b/>
          <w:bCs/>
          <w:color w:val="auto"/>
          <w:sz w:val="28"/>
          <w:szCs w:val="28"/>
        </w:rPr>
        <w:t>附图1</w:t>
      </w:r>
      <w:r>
        <w:rPr>
          <w:rFonts w:hint="default" w:ascii="Times New Roman" w:hAnsi="Times New Roman" w:eastAsia="仿宋" w:cs="Times New Roman"/>
          <w:b/>
          <w:bCs/>
          <w:color w:val="auto"/>
          <w:sz w:val="28"/>
          <w:szCs w:val="28"/>
          <w:lang w:val="en-US" w:eastAsia="zh-CN"/>
        </w:rPr>
        <w:t xml:space="preserve">  </w:t>
      </w:r>
      <w:r>
        <w:rPr>
          <w:rFonts w:hint="default" w:ascii="Times New Roman" w:hAnsi="Times New Roman" w:eastAsia="仿宋" w:cs="Times New Roman"/>
          <w:b/>
          <w:bCs/>
          <w:color w:val="auto"/>
          <w:sz w:val="28"/>
          <w:szCs w:val="28"/>
        </w:rPr>
        <w:t>项目地理位置</w:t>
      </w:r>
      <w:bookmarkEnd w:id="663"/>
    </w:p>
    <w:p>
      <w:pPr>
        <w:pStyle w:val="2"/>
        <w:ind w:left="0" w:leftChars="0" w:firstLine="0" w:firstLineChars="0"/>
        <w:jc w:val="center"/>
        <w:outlineLvl w:val="9"/>
        <w:rPr>
          <w:rFonts w:hint="eastAsia"/>
          <w:color w:val="auto"/>
          <w:lang w:val="en-US" w:eastAsia="zh-CN"/>
        </w:rPr>
      </w:pPr>
      <w:bookmarkStart w:id="664" w:name="_Toc24271"/>
      <w:r>
        <w:rPr>
          <w:color w:val="auto"/>
          <w:sz w:val="21"/>
        </w:rPr>
        <mc:AlternateContent>
          <mc:Choice Requires="wps">
            <w:drawing>
              <wp:anchor distT="0" distB="0" distL="114300" distR="114300" simplePos="0" relativeHeight="251662336" behindDoc="0" locked="0" layoutInCell="1" allowOverlap="1">
                <wp:simplePos x="0" y="0"/>
                <wp:positionH relativeFrom="column">
                  <wp:posOffset>4914900</wp:posOffset>
                </wp:positionH>
                <wp:positionV relativeFrom="paragraph">
                  <wp:posOffset>1813560</wp:posOffset>
                </wp:positionV>
                <wp:extent cx="876300" cy="427990"/>
                <wp:effectExtent l="146685" t="6350" r="24765" b="270510"/>
                <wp:wrapNone/>
                <wp:docPr id="3" name="圆角矩形标注 3"/>
                <wp:cNvGraphicFramePr/>
                <a:graphic xmlns:a="http://schemas.openxmlformats.org/drawingml/2006/main">
                  <a:graphicData uri="http://schemas.microsoft.com/office/word/2010/wordprocessingShape">
                    <wps:wsp>
                      <wps:cNvSpPr/>
                      <wps:spPr>
                        <a:xfrm>
                          <a:off x="0" y="0"/>
                          <a:ext cx="876300" cy="427990"/>
                        </a:xfrm>
                        <a:prstGeom prst="wedgeRoundRectCallout">
                          <a:avLst>
                            <a:gd name="adj1" fmla="val -62565"/>
                            <a:gd name="adj2" fmla="val 106470"/>
                            <a:gd name="adj3" fmla="val 16667"/>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Theme="minorEastAsia"/>
                                <w:color w:val="FF0000"/>
                                <w:lang w:val="en-US" w:eastAsia="zh-CN"/>
                              </w:rPr>
                            </w:pPr>
                            <w:r>
                              <w:rPr>
                                <w:rFonts w:hint="eastAsia"/>
                                <w:color w:val="FF0000"/>
                                <w:lang w:val="en-US" w:eastAsia="zh-CN"/>
                              </w:rPr>
                              <w:t>项目地</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2" type="#_x0000_t62" style="position:absolute;left:0pt;margin-left:387pt;margin-top:142.8pt;height:33.7pt;width:69pt;z-index:251662336;v-text-anchor:middle;mso-width-relative:page;mso-height-relative:page;" filled="f" stroked="t" coordsize="21600,21600" o:gfxdata="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" adj="-2714,33798,14400">
                <v:fill on="f" focussize="0,0"/>
                <v:stroke weight="1pt" color="#FF0000 [3204]" miterlimit="8" joinstyle="miter"/>
                <v:imagedata o:title=""/>
                <o:lock v:ext="edit" aspectratio="f"/>
                <v:textbox>
                  <w:txbxContent>
                    <w:p>
                      <w:pPr>
                        <w:jc w:val="center"/>
                        <w:rPr>
                          <w:rFonts w:hint="eastAsia" w:eastAsiaTheme="minorEastAsia"/>
                          <w:color w:val="FF0000"/>
                          <w:lang w:val="en-US" w:eastAsia="zh-CN"/>
                        </w:rPr>
                      </w:pPr>
                      <w:r>
                        <w:rPr>
                          <w:rFonts w:hint="eastAsia"/>
                          <w:color w:val="FF0000"/>
                          <w:lang w:val="en-US" w:eastAsia="zh-CN"/>
                        </w:rPr>
                        <w:t>项目地</w:t>
                      </w:r>
                    </w:p>
                  </w:txbxContent>
                </v:textbox>
              </v:shape>
            </w:pict>
          </mc:Fallback>
        </mc:AlternateContent>
      </w:r>
      <w:r>
        <w:rPr>
          <w:color w:val="auto"/>
          <w:sz w:val="21"/>
        </w:rPr>
        <mc:AlternateContent>
          <mc:Choice Requires="wps">
            <w:drawing>
              <wp:anchor distT="0" distB="0" distL="114300" distR="114300" simplePos="0" relativeHeight="251661312" behindDoc="0" locked="0" layoutInCell="1" allowOverlap="1">
                <wp:simplePos x="0" y="0"/>
                <wp:positionH relativeFrom="column">
                  <wp:posOffset>4572000</wp:posOffset>
                </wp:positionH>
                <wp:positionV relativeFrom="paragraph">
                  <wp:posOffset>2407920</wp:posOffset>
                </wp:positionV>
                <wp:extent cx="246380" cy="213995"/>
                <wp:effectExtent l="20955" t="19050" r="37465" b="33655"/>
                <wp:wrapNone/>
                <wp:docPr id="2" name="五角星 2"/>
                <wp:cNvGraphicFramePr/>
                <a:graphic xmlns:a="http://schemas.openxmlformats.org/drawingml/2006/main">
                  <a:graphicData uri="http://schemas.microsoft.com/office/word/2010/wordprocessingShape">
                    <wps:wsp>
                      <wps:cNvSpPr/>
                      <wps:spPr>
                        <a:xfrm>
                          <a:off x="0" y="0"/>
                          <a:ext cx="246380" cy="213995"/>
                        </a:xfrm>
                        <a:prstGeom prst="star5">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style="position:absolute;left:0pt;margin-left:360pt;margin-top:189.6pt;height:16.85pt;width:19.4pt;z-index:251661312;v-text-anchor:middle;mso-width-relative:page;mso-height-relative:page;" fillcolor="#FF0000" filled="t" stroked="t" coordsize="246380,213995" o:gfxdata="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DXhDeD2wAAAAsBAAAPAAAAAAAAAAEAIAAAACIAAABkcnMv&#10;ZG93bnJldi54bWxQSwECFAAUAAAACACHTuJAqtmBBXICAAD3BAAADgAAAAAAAAABACAAAAAqAQAA&#10;ZHJzL2Uyb0RvYy54bWxQSwUGAAAAAAYABgBZAQAADgYAAAAA&#10;" path="m0,81738l94109,81739,123190,0,152270,81739,246379,81738,170243,132255,199325,213994,123190,163476,47054,213994,76136,132255xe">
                <v:path o:connectlocs="123190,0;0,81738;47054,213994;199325,213994;246379,81738" o:connectangles="247,164,82,82,0"/>
                <v:fill on="t" focussize="0,0"/>
                <v:stroke weight="1pt" color="#FF0000 [3204]" miterlimit="8" joinstyle="miter"/>
                <v:imagedata o:title=""/>
                <o:lock v:ext="edit" aspectratio="f"/>
              </v:shape>
            </w:pict>
          </mc:Fallback>
        </mc:AlternateContent>
      </w:r>
      <w:r>
        <w:rPr>
          <w:rFonts w:hint="eastAsia" w:eastAsiaTheme="minorEastAsia"/>
          <w:color w:val="auto"/>
          <w:lang w:eastAsia="zh-CN"/>
        </w:rPr>
        <w:drawing>
          <wp:anchor distT="0" distB="0" distL="114300" distR="114300" simplePos="0" relativeHeight="251663360" behindDoc="0" locked="0" layoutInCell="1" allowOverlap="1">
            <wp:simplePos x="0" y="0"/>
            <wp:positionH relativeFrom="column">
              <wp:posOffset>7772400</wp:posOffset>
            </wp:positionH>
            <wp:positionV relativeFrom="paragraph">
              <wp:posOffset>30480</wp:posOffset>
            </wp:positionV>
            <wp:extent cx="546735" cy="583565"/>
            <wp:effectExtent l="0" t="0" r="5715" b="6985"/>
            <wp:wrapNone/>
            <wp:docPr id="8" name="图片 8" descr="fa7ad0d46fa3e0f464f3c8d99a272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fa7ad0d46fa3e0f464f3c8d99a272a9"/>
                    <pic:cNvPicPr>
                      <a:picLocks noChangeAspect="1"/>
                    </pic:cNvPicPr>
                  </pic:nvPicPr>
                  <pic:blipFill>
                    <a:blip r:embed="rId16"/>
                    <a:stretch>
                      <a:fillRect/>
                    </a:stretch>
                  </pic:blipFill>
                  <pic:spPr>
                    <a:xfrm>
                      <a:off x="0" y="0"/>
                      <a:ext cx="546735" cy="583565"/>
                    </a:xfrm>
                    <a:prstGeom prst="rect">
                      <a:avLst/>
                    </a:prstGeom>
                  </pic:spPr>
                </pic:pic>
              </a:graphicData>
            </a:graphic>
          </wp:anchor>
        </w:drawing>
      </w:r>
      <w:r>
        <w:rPr>
          <w:color w:val="auto"/>
        </w:rPr>
        <w:drawing>
          <wp:inline distT="0" distB="0" distL="114300" distR="114300">
            <wp:extent cx="8153400" cy="4619625"/>
            <wp:effectExtent l="0" t="0" r="0" b="9525"/>
            <wp:docPr id="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pic:cNvPicPr>
                      <a:picLocks noChangeAspect="1"/>
                    </pic:cNvPicPr>
                  </pic:nvPicPr>
                  <pic:blipFill>
                    <a:blip r:embed="rId17"/>
                    <a:stretch>
                      <a:fillRect/>
                    </a:stretch>
                  </pic:blipFill>
                  <pic:spPr>
                    <a:xfrm>
                      <a:off x="0" y="0"/>
                      <a:ext cx="8153400" cy="4619625"/>
                    </a:xfrm>
                    <a:prstGeom prst="rect">
                      <a:avLst/>
                    </a:prstGeom>
                    <a:noFill/>
                    <a:ln>
                      <a:noFill/>
                    </a:ln>
                  </pic:spPr>
                </pic:pic>
              </a:graphicData>
            </a:graphic>
          </wp:inline>
        </w:drawing>
      </w:r>
      <w:bookmarkEnd w:id="664"/>
    </w:p>
    <w:p>
      <w:pPr>
        <w:pStyle w:val="15"/>
        <w:tabs>
          <w:tab w:val="left" w:pos="1134"/>
        </w:tabs>
        <w:adjustRightInd w:val="0"/>
        <w:snapToGrid w:val="0"/>
        <w:spacing w:before="0" w:beforeAutospacing="0" w:after="0" w:afterAutospacing="0" w:line="360" w:lineRule="auto"/>
        <w:jc w:val="both"/>
        <w:outlineLvl w:val="0"/>
        <w:rPr>
          <w:rFonts w:hint="default" w:ascii="Times New Roman" w:hAnsi="Times New Roman" w:eastAsia="仿宋" w:cs="Times New Roman"/>
          <w:b/>
          <w:color w:val="auto"/>
          <w:sz w:val="28"/>
          <w:szCs w:val="20"/>
        </w:rPr>
      </w:pPr>
      <w:bookmarkStart w:id="665" w:name="_Toc14155_WPSOffice_Level1"/>
      <w:bookmarkStart w:id="666" w:name="_Toc29921"/>
      <w:bookmarkStart w:id="667" w:name="_Toc26433"/>
      <w:bookmarkStart w:id="668" w:name="_Toc11840"/>
      <w:bookmarkStart w:id="669" w:name="_Toc19788"/>
      <w:bookmarkStart w:id="670" w:name="_Toc19060"/>
      <w:bookmarkStart w:id="671" w:name="_Toc24255"/>
      <w:bookmarkStart w:id="672" w:name="_Toc17700_WPSOffice_Level1"/>
      <w:bookmarkStart w:id="673" w:name="_Toc21775_WPSOffice_Level1"/>
      <w:bookmarkStart w:id="674" w:name="_Toc21106"/>
      <w:bookmarkStart w:id="675" w:name="_Toc1763"/>
      <w:bookmarkStart w:id="676" w:name="_Toc9100"/>
      <w:bookmarkStart w:id="677" w:name="_Toc524649953"/>
      <w:bookmarkStart w:id="678" w:name="_Toc15285"/>
      <w:bookmarkStart w:id="679" w:name="_Toc25414"/>
      <w:bookmarkStart w:id="680" w:name="_Toc8354"/>
      <w:bookmarkStart w:id="681" w:name="_Toc22790"/>
      <w:bookmarkStart w:id="682" w:name="_Toc3224"/>
      <w:bookmarkStart w:id="683" w:name="_Toc24130"/>
      <w:r>
        <w:rPr>
          <w:rFonts w:hint="default" w:ascii="Times New Roman" w:hAnsi="Times New Roman" w:eastAsia="仿宋" w:cs="Times New Roman"/>
          <w:b/>
          <w:color w:val="auto"/>
          <w:sz w:val="28"/>
          <w:szCs w:val="20"/>
        </w:rPr>
        <w:t>附件</w:t>
      </w:r>
      <w:r>
        <w:rPr>
          <w:rFonts w:hint="eastAsia" w:ascii="Times New Roman" w:hAnsi="Times New Roman" w:eastAsia="仿宋" w:cs="Times New Roman"/>
          <w:b/>
          <w:color w:val="auto"/>
          <w:sz w:val="28"/>
          <w:szCs w:val="20"/>
          <w:lang w:val="en-US" w:eastAsia="zh-CN"/>
        </w:rPr>
        <w:t>2</w:t>
      </w:r>
      <w:r>
        <w:rPr>
          <w:rFonts w:hint="default" w:ascii="Times New Roman" w:hAnsi="Times New Roman" w:eastAsia="仿宋" w:cs="Times New Roman"/>
          <w:b/>
          <w:color w:val="auto"/>
          <w:sz w:val="28"/>
          <w:szCs w:val="20"/>
        </w:rPr>
        <w:t>：风险源分布图</w:t>
      </w:r>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pPr>
        <w:pStyle w:val="10"/>
        <w:jc w:val="left"/>
        <w:rPr>
          <w:rFonts w:hint="eastAsia" w:hAnsi="Times New Roman" w:eastAsia="仿宋" w:cs="Times New Roman"/>
          <w:color w:val="auto"/>
          <w:kern w:val="0"/>
          <w:sz w:val="28"/>
          <w:szCs w:val="28"/>
          <w:lang w:val="en-US" w:eastAsia="zh-CN"/>
        </w:rPr>
      </w:pPr>
      <w:r>
        <w:rPr>
          <w:rFonts w:hint="default" w:ascii="Times New Roman" w:hAnsi="Times New Roman" w:eastAsia="仿宋" w:cs="Times New Roman"/>
          <w:color w:val="auto"/>
          <w:kern w:val="0"/>
          <w:sz w:val="28"/>
          <w:szCs w:val="28"/>
        </w:rPr>
        <w:t>图中红色部分为风险源</w:t>
      </w:r>
      <w:r>
        <w:rPr>
          <w:rFonts w:hint="eastAsia" w:hAnsi="Times New Roman" w:eastAsia="仿宋" w:cs="Times New Roman"/>
          <w:color w:val="auto"/>
          <w:kern w:val="0"/>
          <w:sz w:val="28"/>
          <w:szCs w:val="28"/>
          <w:lang w:val="en-US" w:eastAsia="zh-CN"/>
        </w:rPr>
        <w:t xml:space="preserve"> </w:t>
      </w:r>
    </w:p>
    <w:p>
      <w:pPr>
        <w:pStyle w:val="9"/>
        <w:ind w:left="0" w:leftChars="0" w:firstLine="0" w:firstLineChars="0"/>
        <w:jc w:val="center"/>
        <w:rPr>
          <w:rFonts w:hint="default"/>
          <w:color w:val="auto"/>
          <w:lang w:val="en-US" w:eastAsia="zh-CN"/>
        </w:rPr>
        <w:sectPr>
          <w:type w:val="continuous"/>
          <w:pgSz w:w="16783" w:h="11850" w:orient="landscape"/>
          <w:pgMar w:top="1474" w:right="1417" w:bottom="1417" w:left="1134" w:header="851" w:footer="992" w:gutter="0"/>
          <w:pgBorders>
            <w:top w:val="none" w:sz="0" w:space="0"/>
            <w:left w:val="none" w:sz="0" w:space="0"/>
            <w:bottom w:val="none" w:sz="0" w:space="0"/>
            <w:right w:val="none" w:sz="0" w:space="0"/>
          </w:pgBorders>
          <w:pgNumType w:fmt="decimal"/>
          <w:cols w:space="720" w:num="1"/>
          <w:docGrid w:type="lines" w:linePitch="319" w:charSpace="0"/>
        </w:sectPr>
      </w:pPr>
      <w:r>
        <w:rPr>
          <w:color w:val="auto"/>
        </w:rPr>
        <w:drawing>
          <wp:inline distT="0" distB="0" distL="114300" distR="114300">
            <wp:extent cx="7205345" cy="4328795"/>
            <wp:effectExtent l="0" t="0" r="14605" b="14605"/>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
                    <pic:cNvPicPr>
                      <a:picLocks noChangeAspect="1"/>
                    </pic:cNvPicPr>
                  </pic:nvPicPr>
                  <pic:blipFill>
                    <a:blip r:embed="rId18"/>
                    <a:stretch>
                      <a:fillRect/>
                    </a:stretch>
                  </pic:blipFill>
                  <pic:spPr>
                    <a:xfrm>
                      <a:off x="0" y="0"/>
                      <a:ext cx="7205345" cy="4328795"/>
                    </a:xfrm>
                    <a:prstGeom prst="rect">
                      <a:avLst/>
                    </a:prstGeom>
                    <a:noFill/>
                    <a:ln>
                      <a:noFill/>
                    </a:ln>
                  </pic:spPr>
                </pic:pic>
              </a:graphicData>
            </a:graphic>
          </wp:inline>
        </w:drawing>
      </w:r>
    </w:p>
    <w:p>
      <w:pPr>
        <w:pStyle w:val="9"/>
        <w:ind w:left="0" w:leftChars="0" w:firstLine="0" w:firstLineChars="0"/>
        <w:jc w:val="both"/>
        <w:outlineLvl w:val="0"/>
        <w:rPr>
          <w:color w:val="auto"/>
        </w:rPr>
      </w:pPr>
      <w:bookmarkStart w:id="684" w:name="_Toc17136"/>
      <w:bookmarkStart w:id="685" w:name="_Toc524649952"/>
      <w:bookmarkStart w:id="686" w:name="_Toc19104"/>
      <w:bookmarkStart w:id="687" w:name="_Toc25550_WPSOffice_Level1"/>
      <w:bookmarkStart w:id="688" w:name="_Toc18669"/>
      <w:bookmarkStart w:id="689" w:name="_Toc6889"/>
      <w:bookmarkStart w:id="690" w:name="_Toc16568_WPSOffice_Level1"/>
      <w:bookmarkStart w:id="691" w:name="_Toc22166"/>
      <w:bookmarkStart w:id="692" w:name="_Toc2343"/>
      <w:bookmarkStart w:id="693" w:name="_Toc119"/>
      <w:bookmarkStart w:id="694" w:name="_Toc23881"/>
      <w:bookmarkStart w:id="695" w:name="_Toc20186"/>
      <w:bookmarkStart w:id="696" w:name="_Toc13304"/>
      <w:bookmarkStart w:id="697" w:name="_Toc15278"/>
      <w:bookmarkStart w:id="698" w:name="_Toc514885638"/>
      <w:bookmarkStart w:id="699" w:name="_Toc16463"/>
      <w:bookmarkStart w:id="700" w:name="_Toc27688"/>
      <w:bookmarkStart w:id="701" w:name="_Toc17568_WPSOffice_Level1"/>
      <w:bookmarkStart w:id="702" w:name="_Toc17498"/>
      <w:bookmarkStart w:id="703" w:name="_Toc25211"/>
      <w:bookmarkStart w:id="704" w:name="_Toc18113"/>
      <w:r>
        <w:rPr>
          <w:rFonts w:hint="default" w:ascii="Times New Roman" w:hAnsi="Times New Roman" w:eastAsia="仿宋" w:cs="Times New Roman"/>
          <w:b/>
          <w:bCs/>
          <w:color w:val="auto"/>
          <w:sz w:val="28"/>
          <w:szCs w:val="22"/>
        </w:rPr>
        <w:t>附件</w:t>
      </w:r>
      <w:r>
        <w:rPr>
          <w:rFonts w:hint="eastAsia" w:ascii="Times New Roman" w:hAnsi="Times New Roman" w:eastAsia="仿宋" w:cs="Times New Roman"/>
          <w:b/>
          <w:bCs/>
          <w:color w:val="auto"/>
          <w:sz w:val="28"/>
          <w:szCs w:val="22"/>
          <w:lang w:val="en-US" w:eastAsia="zh-CN"/>
        </w:rPr>
        <w:t>3</w:t>
      </w:r>
      <w:r>
        <w:rPr>
          <w:rFonts w:hint="default" w:ascii="Times New Roman" w:hAnsi="Times New Roman" w:eastAsia="仿宋" w:cs="Times New Roman"/>
          <w:b/>
          <w:bCs/>
          <w:color w:val="auto"/>
          <w:sz w:val="28"/>
          <w:szCs w:val="22"/>
        </w:rPr>
        <w:t>：项目区位置及周围环境敏感点分布图</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tbl>
      <w:tblPr>
        <w:tblStyle w:val="17"/>
        <w:tblW w:w="4997" w:type="pct"/>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28" w:type="dxa"/>
          <w:bottom w:w="0" w:type="dxa"/>
          <w:right w:w="28" w:type="dxa"/>
        </w:tblCellMar>
      </w:tblPr>
      <w:tblGrid>
        <w:gridCol w:w="10647"/>
        <w:gridCol w:w="1703"/>
        <w:gridCol w:w="901"/>
        <w:gridCol w:w="755"/>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283" w:hRule="exact"/>
          <w:jc w:val="center"/>
        </w:trPr>
        <w:tc>
          <w:tcPr>
            <w:tcW w:w="3800" w:type="pct"/>
            <w:vMerge w:val="restart"/>
          </w:tcPr>
          <w:p>
            <w:pPr>
              <w:pStyle w:val="2"/>
              <w:jc w:val="center"/>
              <w:outlineLvl w:val="9"/>
              <w:rPr>
                <w:rFonts w:hint="eastAsia" w:eastAsia="黑体"/>
                <w:color w:val="auto"/>
                <w:lang w:eastAsia="zh-CN"/>
              </w:rPr>
            </w:pPr>
            <w:bookmarkStart w:id="705" w:name="_Toc14512"/>
            <w:r>
              <w:rPr>
                <w:rFonts w:ascii="Times New Roman" w:hAnsi="Times New Roman" w:eastAsia="仿宋"/>
                <w:color w:val="auto"/>
                <w:sz w:val="21"/>
              </w:rPr>
              <mc:AlternateContent>
                <mc:Choice Requires="wps">
                  <w:drawing>
                    <wp:anchor distT="0" distB="0" distL="114300" distR="114300" simplePos="0" relativeHeight="251673600" behindDoc="0" locked="0" layoutInCell="1" allowOverlap="1">
                      <wp:simplePos x="0" y="0"/>
                      <wp:positionH relativeFrom="column">
                        <wp:posOffset>3543300</wp:posOffset>
                      </wp:positionH>
                      <wp:positionV relativeFrom="paragraph">
                        <wp:posOffset>773430</wp:posOffset>
                      </wp:positionV>
                      <wp:extent cx="1009650" cy="305435"/>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009650" cy="305435"/>
                              </a:xfrm>
                              <a:prstGeom prst="rect">
                                <a:avLst/>
                              </a:prstGeom>
                              <a:noFill/>
                              <a:ln w="6350">
                                <a:noFill/>
                              </a:ln>
                              <a:effectLst/>
                            </wps:spPr>
                            <wps:txbx>
                              <w:txbxContent>
                                <w:p>
                                  <w:pPr>
                                    <w:rPr>
                                      <w:rFonts w:hint="default"/>
                                      <w:lang w:val="en-US"/>
                                    </w:rPr>
                                  </w:pPr>
                                  <w:r>
                                    <w:rPr>
                                      <w:rFonts w:hint="default"/>
                                      <w:b/>
                                      <w:bCs/>
                                      <w:color w:val="FFFF00"/>
                                      <w:sz w:val="18"/>
                                      <w:szCs w:val="18"/>
                                      <w:lang w:val="en-US" w:eastAsia="zh-CN"/>
                                    </w:rPr>
                                    <w:t>幼优乐幼儿园</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9pt;margin-top:60.9pt;height:24.05pt;width:79.5pt;z-index:251673600;mso-width-relative:page;mso-height-relative:page;" filled="f" stroked="f" coordsize="21600,21600" o:gfxdata="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CpRkgLbAAAACwEAAA8AAAAAAAAAAQAgAAAA&#10;IgAAAGRycy9kb3ducmV2LnhtbFBLAQIUABQAAAAIAIdO4kDDUyMgQQIAAHYEAAAOAAAAAAAAAAEA&#10;IAAAACoBAABkcnMvZTJvRG9jLnhtbFBLBQYAAAAABgAGAFkBAADdBQAAAAA=&#10;">
                      <v:fill on="f" focussize="0,0"/>
                      <v:stroke on="f" weight="0.5pt"/>
                      <v:imagedata o:title=""/>
                      <o:lock v:ext="edit" aspectratio="f"/>
                      <v:textbox>
                        <w:txbxContent>
                          <w:p>
                            <w:pPr>
                              <w:rPr>
                                <w:rFonts w:hint="default"/>
                                <w:lang w:val="en-US"/>
                              </w:rPr>
                            </w:pPr>
                            <w:r>
                              <w:rPr>
                                <w:rFonts w:hint="default"/>
                                <w:b/>
                                <w:bCs/>
                                <w:color w:val="FFFF00"/>
                                <w:sz w:val="18"/>
                                <w:szCs w:val="18"/>
                                <w:lang w:val="en-US" w:eastAsia="zh-CN"/>
                              </w:rPr>
                              <w:t>幼优乐幼儿园</w:t>
                            </w:r>
                          </w:p>
                        </w:txbxContent>
                      </v:textbox>
                    </v:shape>
                  </w:pict>
                </mc:Fallback>
              </mc:AlternateContent>
            </w:r>
            <w:r>
              <w:rPr>
                <w:color w:val="auto"/>
                <w:sz w:val="21"/>
              </w:rPr>
              <mc:AlternateContent>
                <mc:Choice Requires="wps">
                  <w:drawing>
                    <wp:anchor distT="0" distB="0" distL="114300" distR="114300" simplePos="0" relativeHeight="251672576" behindDoc="0" locked="0" layoutInCell="1" allowOverlap="1">
                      <wp:simplePos x="0" y="0"/>
                      <wp:positionH relativeFrom="column">
                        <wp:posOffset>3771900</wp:posOffset>
                      </wp:positionH>
                      <wp:positionV relativeFrom="paragraph">
                        <wp:posOffset>575310</wp:posOffset>
                      </wp:positionV>
                      <wp:extent cx="114300" cy="99060"/>
                      <wp:effectExtent l="10795" t="12700" r="27305" b="21590"/>
                      <wp:wrapNone/>
                      <wp:docPr id="14" name="等腰三角形 14"/>
                      <wp:cNvGraphicFramePr/>
                      <a:graphic xmlns:a="http://schemas.openxmlformats.org/drawingml/2006/main">
                        <a:graphicData uri="http://schemas.microsoft.com/office/word/2010/wordprocessingShape">
                          <wps:wsp>
                            <wps:cNvSpPr/>
                            <wps:spPr>
                              <a:xfrm>
                                <a:off x="0" y="0"/>
                                <a:ext cx="114300" cy="99060"/>
                              </a:xfrm>
                              <a:prstGeom prst="triangl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297pt;margin-top:45.3pt;height:7.8pt;width:9pt;z-index:251672576;v-text-anchor:middle;mso-width-relative:page;mso-height-relative:page;" fillcolor="#FFFF00" filled="t" stroked="t" coordsize="21600,21600" o:gfxdata="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D7o77M1QAAAAoBAAAPAAAAAAAAAAEAIAAAACIA&#10;AABkcnMvZG93bnJldi54bWxQSwECFAAUAAAACACHTuJAcuTlBH4CAAABBQAADgAAAAAAAAABACAA&#10;AAAkAQAAZHJzL2Uyb0RvYy54bWxQSwUGAAAAAAYABgBZAQAAFAYAAAAA&#10;" adj="10800">
                      <v:fill on="t" focussize="0,0"/>
                      <v:stroke weight="1pt" color="#FFFF00 [3204]" miterlimit="8" joinstyle="miter"/>
                      <v:imagedata o:title=""/>
                      <o:lock v:ext="edit" aspectratio="f"/>
                    </v:shape>
                  </w:pict>
                </mc:Fallback>
              </mc:AlternateContent>
            </w:r>
            <w:r>
              <w:rPr>
                <w:rFonts w:ascii="Times New Roman" w:hAnsi="Times New Roman" w:eastAsia="仿宋"/>
                <w:color w:val="auto"/>
                <w:sz w:val="21"/>
              </w:rPr>
              <mc:AlternateContent>
                <mc:Choice Requires="wps">
                  <w:drawing>
                    <wp:anchor distT="0" distB="0" distL="114300" distR="114300" simplePos="0" relativeHeight="251671552" behindDoc="0" locked="0" layoutInCell="1" allowOverlap="1">
                      <wp:simplePos x="0" y="0"/>
                      <wp:positionH relativeFrom="column">
                        <wp:posOffset>3086100</wp:posOffset>
                      </wp:positionH>
                      <wp:positionV relativeFrom="paragraph">
                        <wp:posOffset>3448050</wp:posOffset>
                      </wp:positionV>
                      <wp:extent cx="1486535" cy="305435"/>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486535" cy="305435"/>
                              </a:xfrm>
                              <a:prstGeom prst="rect">
                                <a:avLst/>
                              </a:prstGeom>
                              <a:noFill/>
                              <a:ln w="6350">
                                <a:noFill/>
                              </a:ln>
                              <a:effectLst/>
                            </wps:spPr>
                            <wps:txbx>
                              <w:txbxContent>
                                <w:p>
                                  <w:pPr>
                                    <w:rPr>
                                      <w:rFonts w:hint="default"/>
                                      <w:b/>
                                      <w:bCs/>
                                      <w:color w:val="FFFF00"/>
                                      <w:sz w:val="18"/>
                                      <w:szCs w:val="18"/>
                                      <w:lang w:val="en-US"/>
                                    </w:rPr>
                                  </w:pPr>
                                  <w:r>
                                    <w:rPr>
                                      <w:rFonts w:hint="default"/>
                                      <w:b/>
                                      <w:bCs/>
                                      <w:color w:val="FFFF00"/>
                                      <w:sz w:val="18"/>
                                      <w:szCs w:val="18"/>
                                      <w:lang w:val="en-US"/>
                                    </w:rPr>
                                    <w:t>西安电力高等专科学校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3pt;margin-top:271.5pt;height:24.05pt;width:117.05pt;z-index:251671552;mso-width-relative:page;mso-height-relative:page;" filled="f" stroked="f" coordsize="21600,21600" o:gfxdata="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zAbOi3AAAAAsBAAAPAAAAAAAAAAEAIAAA&#10;ACIAAABkcnMvZG93bnJldi54bWxQSwECFAAUAAAACACHTuJAMOJV2UECAAB2BAAADgAAAAAAAAAB&#10;ACAAAAArAQAAZHJzL2Uyb0RvYy54bWxQSwUGAAAAAAYABgBZAQAA3gUAAAAA&#10;">
                      <v:fill on="f" focussize="0,0"/>
                      <v:stroke on="f" weight="0.5pt"/>
                      <v:imagedata o:title=""/>
                      <o:lock v:ext="edit" aspectratio="f"/>
                      <v:textbox>
                        <w:txbxContent>
                          <w:p>
                            <w:pPr>
                              <w:rPr>
                                <w:rFonts w:hint="default"/>
                                <w:b/>
                                <w:bCs/>
                                <w:color w:val="FFFF00"/>
                                <w:sz w:val="18"/>
                                <w:szCs w:val="18"/>
                                <w:lang w:val="en-US"/>
                              </w:rPr>
                            </w:pPr>
                            <w:r>
                              <w:rPr>
                                <w:rFonts w:hint="default"/>
                                <w:b/>
                                <w:bCs/>
                                <w:color w:val="FFFF00"/>
                                <w:sz w:val="18"/>
                                <w:szCs w:val="18"/>
                                <w:lang w:val="en-US"/>
                              </w:rPr>
                              <w:t>西安电力高等专科学校</w:t>
                            </w:r>
                          </w:p>
                        </w:txbxContent>
                      </v:textbox>
                    </v:shape>
                  </w:pict>
                </mc:Fallback>
              </mc:AlternateContent>
            </w:r>
            <w:r>
              <w:rPr>
                <w:color w:val="auto"/>
                <w:sz w:val="21"/>
              </w:rPr>
              <mc:AlternateContent>
                <mc:Choice Requires="wps">
                  <w:drawing>
                    <wp:anchor distT="0" distB="0" distL="114300" distR="114300" simplePos="0" relativeHeight="251670528" behindDoc="0" locked="0" layoutInCell="1" allowOverlap="1">
                      <wp:simplePos x="0" y="0"/>
                      <wp:positionH relativeFrom="column">
                        <wp:posOffset>4229100</wp:posOffset>
                      </wp:positionH>
                      <wp:positionV relativeFrom="paragraph">
                        <wp:posOffset>3745230</wp:posOffset>
                      </wp:positionV>
                      <wp:extent cx="114300" cy="99060"/>
                      <wp:effectExtent l="10795" t="12700" r="27305" b="21590"/>
                      <wp:wrapNone/>
                      <wp:docPr id="20" name="等腰三角形 20"/>
                      <wp:cNvGraphicFramePr/>
                      <a:graphic xmlns:a="http://schemas.openxmlformats.org/drawingml/2006/main">
                        <a:graphicData uri="http://schemas.microsoft.com/office/word/2010/wordprocessingShape">
                          <wps:wsp>
                            <wps:cNvSpPr/>
                            <wps:spPr>
                              <a:xfrm>
                                <a:off x="0" y="0"/>
                                <a:ext cx="114300" cy="99060"/>
                              </a:xfrm>
                              <a:prstGeom prst="triangl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333pt;margin-top:294.9pt;height:7.8pt;width:9pt;z-index:251670528;v-text-anchor:middle;mso-width-relative:page;mso-height-relative:page;" fillcolor="#FFFF00" filled="t" stroked="t" coordsize="21600,21600" o:gfxdata="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OjZdsbXAAAACwEAAA8AAAAAAAAAAQAgAAAA&#10;IgAAAGRycy9kb3ducmV2LnhtbFBLAQIUABQAAAAIAIdO4kDt1JsRfgIAAAEFAAAOAAAAAAAAAAEA&#10;IAAAACYBAABkcnMvZTJvRG9jLnhtbFBLBQYAAAAABgAGAFkBAAAWBgAAAAA=&#10;" adj="10800">
                      <v:fill on="t" focussize="0,0"/>
                      <v:stroke weight="1pt" color="#FFFF00 [3204]" miterlimit="8" joinstyle="miter"/>
                      <v:imagedata o:title=""/>
                      <o:lock v:ext="edit" aspectratio="f"/>
                    </v:shape>
                  </w:pict>
                </mc:Fallback>
              </mc:AlternateContent>
            </w:r>
            <w:r>
              <w:rPr>
                <w:color w:val="auto"/>
                <w:sz w:val="21"/>
              </w:rPr>
              <mc:AlternateContent>
                <mc:Choice Requires="wps">
                  <w:drawing>
                    <wp:anchor distT="0" distB="0" distL="114300" distR="114300" simplePos="0" relativeHeight="251667456" behindDoc="0" locked="0" layoutInCell="1" allowOverlap="1">
                      <wp:simplePos x="0" y="0"/>
                      <wp:positionH relativeFrom="column">
                        <wp:posOffset>2743200</wp:posOffset>
                      </wp:positionH>
                      <wp:positionV relativeFrom="paragraph">
                        <wp:posOffset>1169670</wp:posOffset>
                      </wp:positionV>
                      <wp:extent cx="114300" cy="99060"/>
                      <wp:effectExtent l="10795" t="12700" r="27305" b="21590"/>
                      <wp:wrapNone/>
                      <wp:docPr id="23" name="等腰三角形 23"/>
                      <wp:cNvGraphicFramePr/>
                      <a:graphic xmlns:a="http://schemas.openxmlformats.org/drawingml/2006/main">
                        <a:graphicData uri="http://schemas.microsoft.com/office/word/2010/wordprocessingShape">
                          <wps:wsp>
                            <wps:cNvSpPr/>
                            <wps:spPr>
                              <a:xfrm>
                                <a:off x="2171700" y="5402580"/>
                                <a:ext cx="114300" cy="99060"/>
                              </a:xfrm>
                              <a:prstGeom prst="triangl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216pt;margin-top:92.1pt;height:7.8pt;width:9pt;z-index:251667456;v-text-anchor:middle;mso-width-relative:page;mso-height-relative:page;" fillcolor="#FFFF00" filled="t" stroked="t" coordsize="21600,21600" o:gfxdata="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BpkoFS1gAAAAsBAAAPAAAA&#10;AAAAAAEAIAAAACIAAABkcnMvZG93bnJldi54bWxQSwECFAAUAAAACACHTuJAGIeOC4kCAAANBQAA&#10;DgAAAAAAAAABACAAAAAlAQAAZHJzL2Uyb0RvYy54bWxQSwUGAAAAAAYABgBZAQAAIAYAAAAA&#10;" adj="10800">
                      <v:fill on="t" focussize="0,0"/>
                      <v:stroke weight="1pt" color="#FFFF00 [3204]" miterlimit="8" joinstyle="miter"/>
                      <v:imagedata o:title=""/>
                      <o:lock v:ext="edit" aspectratio="f"/>
                    </v:shape>
                  </w:pict>
                </mc:Fallback>
              </mc:AlternateContent>
            </w:r>
            <w:r>
              <w:rPr>
                <w:rFonts w:ascii="Times New Roman" w:hAnsi="Times New Roman" w:eastAsia="仿宋"/>
                <w:color w:val="auto"/>
                <w:sz w:val="21"/>
              </w:rPr>
              <mc:AlternateContent>
                <mc:Choice Requires="wps">
                  <w:drawing>
                    <wp:anchor distT="0" distB="0" distL="114300" distR="114300" simplePos="0" relativeHeight="251666432" behindDoc="0" locked="0" layoutInCell="1" allowOverlap="1">
                      <wp:simplePos x="0" y="0"/>
                      <wp:positionH relativeFrom="column">
                        <wp:posOffset>2514600</wp:posOffset>
                      </wp:positionH>
                      <wp:positionV relativeFrom="paragraph">
                        <wp:posOffset>1268730</wp:posOffset>
                      </wp:positionV>
                      <wp:extent cx="932815" cy="305435"/>
                      <wp:effectExtent l="0" t="0" r="0" b="0"/>
                      <wp:wrapNone/>
                      <wp:docPr id="273" name="文本框 273"/>
                      <wp:cNvGraphicFramePr/>
                      <a:graphic xmlns:a="http://schemas.openxmlformats.org/drawingml/2006/main">
                        <a:graphicData uri="http://schemas.microsoft.com/office/word/2010/wordprocessingShape">
                          <wps:wsp>
                            <wps:cNvSpPr txBox="1"/>
                            <wps:spPr>
                              <a:xfrm>
                                <a:off x="0" y="0"/>
                                <a:ext cx="932815" cy="305435"/>
                              </a:xfrm>
                              <a:prstGeom prst="rect">
                                <a:avLst/>
                              </a:prstGeom>
                              <a:noFill/>
                              <a:ln w="6350">
                                <a:noFill/>
                              </a:ln>
                              <a:effectLst/>
                            </wps:spPr>
                            <wps:txbx>
                              <w:txbxContent>
                                <w:p>
                                  <w:pPr>
                                    <w:rPr>
                                      <w:rFonts w:hint="default"/>
                                      <w:b/>
                                      <w:bCs/>
                                      <w:color w:val="FFFF00"/>
                                      <w:sz w:val="18"/>
                                      <w:szCs w:val="18"/>
                                      <w:lang w:val="en-US"/>
                                    </w:rPr>
                                  </w:pPr>
                                  <w:r>
                                    <w:rPr>
                                      <w:rFonts w:hint="eastAsia"/>
                                      <w:b/>
                                      <w:bCs/>
                                      <w:color w:val="FFFF00"/>
                                      <w:sz w:val="18"/>
                                      <w:szCs w:val="18"/>
                                      <w:lang w:val="en-US" w:eastAsia="zh-CN"/>
                                    </w:rPr>
                                    <w:t>九冶小区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8pt;margin-top:99.9pt;height:24.05pt;width:73.45pt;z-index:251666432;mso-width-relative:page;mso-height-relative:page;" filled="f" stroked="f" coordsize="21600,21600" o:gfxdata="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CQQO5X3AAAAAsBAAAPAAAAAAAAAAEA&#10;IAAAACIAAABkcnMvZG93bnJldi54bWxQSwECFAAUAAAACACHTuJAdagYyUQCAAB3BAAADgAAAAAA&#10;AAABACAAAAArAQAAZHJzL2Uyb0RvYy54bWxQSwUGAAAAAAYABgBZAQAA4QUAAAAA&#10;">
                      <v:fill on="f" focussize="0,0"/>
                      <v:stroke on="f" weight="0.5pt"/>
                      <v:imagedata o:title=""/>
                      <o:lock v:ext="edit" aspectratio="f"/>
                      <v:textbox>
                        <w:txbxContent>
                          <w:p>
                            <w:pPr>
                              <w:rPr>
                                <w:rFonts w:hint="default"/>
                                <w:b/>
                                <w:bCs/>
                                <w:color w:val="FFFF00"/>
                                <w:sz w:val="18"/>
                                <w:szCs w:val="18"/>
                                <w:lang w:val="en-US"/>
                              </w:rPr>
                            </w:pPr>
                            <w:r>
                              <w:rPr>
                                <w:rFonts w:hint="eastAsia"/>
                                <w:b/>
                                <w:bCs/>
                                <w:color w:val="FFFF00"/>
                                <w:sz w:val="18"/>
                                <w:szCs w:val="18"/>
                                <w:lang w:val="en-US" w:eastAsia="zh-CN"/>
                              </w:rPr>
                              <w:t>九冶小区</w:t>
                            </w:r>
                          </w:p>
                        </w:txbxContent>
                      </v:textbox>
                    </v:shape>
                  </w:pict>
                </mc:Fallback>
              </mc:AlternateContent>
            </w:r>
            <w:r>
              <w:rPr>
                <w:rFonts w:ascii="Times New Roman" w:hAnsi="Times New Roman" w:eastAsia="仿宋"/>
                <w:color w:val="auto"/>
                <w:sz w:val="21"/>
              </w:rPr>
              <mc:AlternateContent>
                <mc:Choice Requires="wps">
                  <w:drawing>
                    <wp:anchor distT="0" distB="0" distL="114300" distR="114300" simplePos="0" relativeHeight="251669504" behindDoc="0" locked="0" layoutInCell="1" allowOverlap="1">
                      <wp:simplePos x="0" y="0"/>
                      <wp:positionH relativeFrom="column">
                        <wp:posOffset>342900</wp:posOffset>
                      </wp:positionH>
                      <wp:positionV relativeFrom="paragraph">
                        <wp:posOffset>2061210</wp:posOffset>
                      </wp:positionV>
                      <wp:extent cx="807085" cy="305435"/>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807085" cy="305435"/>
                              </a:xfrm>
                              <a:prstGeom prst="rect">
                                <a:avLst/>
                              </a:prstGeom>
                              <a:noFill/>
                              <a:ln w="6350">
                                <a:noFill/>
                              </a:ln>
                              <a:effectLst/>
                            </wps:spPr>
                            <wps:txbx>
                              <w:txbxContent>
                                <w:p>
                                  <w:pPr>
                                    <w:rPr>
                                      <w:rFonts w:hint="default" w:eastAsia="宋体"/>
                                      <w:b/>
                                      <w:bCs/>
                                      <w:color w:val="FFFF00"/>
                                      <w:sz w:val="18"/>
                                      <w:szCs w:val="18"/>
                                      <w:lang w:val="en-US" w:eastAsia="zh-CN"/>
                                    </w:rPr>
                                  </w:pPr>
                                  <w:r>
                                    <w:rPr>
                                      <w:rFonts w:hint="eastAsia"/>
                                      <w:b/>
                                      <w:bCs/>
                                      <w:color w:val="FFFF00"/>
                                      <w:sz w:val="18"/>
                                      <w:szCs w:val="18"/>
                                      <w:lang w:val="en-US" w:eastAsia="zh-CN"/>
                                    </w:rPr>
                                    <w:t>华秦小学</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pt;margin-top:162.3pt;height:24.05pt;width:63.55pt;z-index:251669504;mso-width-relative:page;mso-height-relative:page;" filled="f" stroked="f" coordsize="21600,21600" o:gfxdata="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7qGfk2wAAAAoBAAAPAAAAAAAAAAEAIAAA&#10;ACIAAABkcnMvZG93bnJldi54bWxQSwECFAAUAAAACACHTuJA8dPCf0ICAAB1BAAADgAAAAAAAAAB&#10;ACAAAAAqAQAAZHJzL2Uyb0RvYy54bWxQSwUGAAAAAAYABgBZAQAA3gUAAAAA&#10;">
                      <v:fill on="f" focussize="0,0"/>
                      <v:stroke on="f" weight="0.5pt"/>
                      <v:imagedata o:title=""/>
                      <o:lock v:ext="edit" aspectratio="f"/>
                      <v:textbox>
                        <w:txbxContent>
                          <w:p>
                            <w:pPr>
                              <w:rPr>
                                <w:rFonts w:hint="default" w:eastAsia="宋体"/>
                                <w:b/>
                                <w:bCs/>
                                <w:color w:val="FFFF00"/>
                                <w:sz w:val="18"/>
                                <w:szCs w:val="18"/>
                                <w:lang w:val="en-US" w:eastAsia="zh-CN"/>
                              </w:rPr>
                            </w:pPr>
                            <w:r>
                              <w:rPr>
                                <w:rFonts w:hint="eastAsia"/>
                                <w:b/>
                                <w:bCs/>
                                <w:color w:val="FFFF00"/>
                                <w:sz w:val="18"/>
                                <w:szCs w:val="18"/>
                                <w:lang w:val="en-US" w:eastAsia="zh-CN"/>
                              </w:rPr>
                              <w:t>华秦小学</w:t>
                            </w:r>
                          </w:p>
                        </w:txbxContent>
                      </v:textbox>
                    </v:shape>
                  </w:pict>
                </mc:Fallback>
              </mc:AlternateContent>
            </w:r>
            <w:r>
              <w:rPr>
                <w:color w:val="auto"/>
                <w:sz w:val="21"/>
              </w:rPr>
              <mc:AlternateContent>
                <mc:Choice Requires="wps">
                  <w:drawing>
                    <wp:anchor distT="0" distB="0" distL="114300" distR="114300" simplePos="0" relativeHeight="251668480" behindDoc="0" locked="0" layoutInCell="1" allowOverlap="1">
                      <wp:simplePos x="0" y="0"/>
                      <wp:positionH relativeFrom="column">
                        <wp:posOffset>571500</wp:posOffset>
                      </wp:positionH>
                      <wp:positionV relativeFrom="paragraph">
                        <wp:posOffset>1863090</wp:posOffset>
                      </wp:positionV>
                      <wp:extent cx="114300" cy="99060"/>
                      <wp:effectExtent l="10795" t="12700" r="27305" b="21590"/>
                      <wp:wrapNone/>
                      <wp:docPr id="26" name="等腰三角形 26"/>
                      <wp:cNvGraphicFramePr/>
                      <a:graphic xmlns:a="http://schemas.openxmlformats.org/drawingml/2006/main">
                        <a:graphicData uri="http://schemas.microsoft.com/office/word/2010/wordprocessingShape">
                          <wps:wsp>
                            <wps:cNvSpPr/>
                            <wps:spPr>
                              <a:xfrm>
                                <a:off x="0" y="0"/>
                                <a:ext cx="114300" cy="99060"/>
                              </a:xfrm>
                              <a:prstGeom prst="triangl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45pt;margin-top:146.7pt;height:7.8pt;width:9pt;z-index:251668480;v-text-anchor:middle;mso-width-relative:page;mso-height-relative:page;" fillcolor="#FFFF00" filled="t" stroked="t" coordsize="21600,21600" o:gfxdata="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CVZ1utYAAAAKAQAADwAAAAAAAAABACAAAAAi&#10;AAAAZHJzL2Rvd25yZXYueG1sUEsBAhQAFAAAAAgAh07iQO3qUg5+AgAAAQUAAA4AAAAAAAAAAQAg&#10;AAAAJQEAAGRycy9lMm9Eb2MueG1sUEsFBgAAAAAGAAYAWQEAABUGAAAAAA==&#10;" adj="10800">
                      <v:fill on="t" focussize="0,0"/>
                      <v:stroke weight="1pt" color="#FFFF00 [3204]" miterlimit="8" joinstyle="miter"/>
                      <v:imagedata o:title=""/>
                      <o:lock v:ext="edit" aspectratio="f"/>
                    </v:shape>
                  </w:pict>
                </mc:Fallback>
              </mc:AlternateContent>
            </w:r>
            <w:r>
              <w:rPr>
                <w:color w:val="auto"/>
              </w:rPr>
              <w:drawing>
                <wp:inline distT="0" distB="0" distL="114300" distR="114300">
                  <wp:extent cx="6581775" cy="3912235"/>
                  <wp:effectExtent l="0" t="0" r="9525" b="12065"/>
                  <wp:docPr id="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
                          <pic:cNvPicPr>
                            <a:picLocks noChangeAspect="1"/>
                          </pic:cNvPicPr>
                        </pic:nvPicPr>
                        <pic:blipFill>
                          <a:blip r:embed="rId19"/>
                          <a:stretch>
                            <a:fillRect/>
                          </a:stretch>
                        </pic:blipFill>
                        <pic:spPr>
                          <a:xfrm>
                            <a:off x="0" y="0"/>
                            <a:ext cx="6581775" cy="3912235"/>
                          </a:xfrm>
                          <a:prstGeom prst="rect">
                            <a:avLst/>
                          </a:prstGeom>
                          <a:noFill/>
                          <a:ln>
                            <a:noFill/>
                          </a:ln>
                        </pic:spPr>
                      </pic:pic>
                    </a:graphicData>
                  </a:graphic>
                </wp:inline>
              </w:drawing>
            </w:r>
            <w:bookmarkEnd w:id="705"/>
          </w:p>
        </w:tc>
        <w:tc>
          <w:tcPr>
            <w:tcW w:w="607" w:type="pct"/>
            <w:vAlign w:val="center"/>
          </w:tcPr>
          <w:p>
            <w:pPr>
              <w:spacing w:line="240" w:lineRule="atLeast"/>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名称</w:t>
            </w:r>
          </w:p>
        </w:tc>
        <w:tc>
          <w:tcPr>
            <w:tcW w:w="321" w:type="pct"/>
            <w:vAlign w:val="center"/>
          </w:tcPr>
          <w:p>
            <w:pPr>
              <w:spacing w:line="240" w:lineRule="atLeast"/>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距离/m</w:t>
            </w:r>
          </w:p>
        </w:tc>
        <w:tc>
          <w:tcPr>
            <w:tcW w:w="269" w:type="pct"/>
            <w:vAlign w:val="center"/>
          </w:tcPr>
          <w:p>
            <w:pPr>
              <w:spacing w:line="240" w:lineRule="atLeast"/>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方位</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583" w:hRule="exact"/>
          <w:jc w:val="center"/>
        </w:trPr>
        <w:tc>
          <w:tcPr>
            <w:tcW w:w="3800" w:type="pct"/>
            <w:vMerge w:val="continue"/>
          </w:tcPr>
          <w:p>
            <w:pPr>
              <w:spacing w:line="240" w:lineRule="atLeast"/>
              <w:jc w:val="center"/>
              <w:rPr>
                <w:rFonts w:ascii="Times New Roman" w:hAnsi="Times New Roman" w:eastAsia="仿宋"/>
                <w:color w:val="auto"/>
              </w:rPr>
            </w:pPr>
          </w:p>
        </w:tc>
        <w:tc>
          <w:tcPr>
            <w:tcW w:w="607" w:type="pct"/>
            <w:vAlign w:val="center"/>
          </w:tcPr>
          <w:p>
            <w:pPr>
              <w:ind w:left="210" w:leftChars="100"/>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九冶小区</w:t>
            </w:r>
          </w:p>
        </w:tc>
        <w:tc>
          <w:tcPr>
            <w:tcW w:w="321"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46</w:t>
            </w:r>
            <w:r>
              <w:rPr>
                <w:rFonts w:hint="eastAsia" w:ascii="Times New Roman" w:hAnsi="Times New Roman" w:eastAsia="仿宋" w:cs="Times New Roman"/>
                <w:color w:val="auto"/>
                <w:sz w:val="24"/>
                <w:szCs w:val="24"/>
                <w:highlight w:val="none"/>
                <w:lang w:val="en-US" w:eastAsia="zh-CN"/>
              </w:rPr>
              <w:t>m</w:t>
            </w:r>
          </w:p>
        </w:tc>
        <w:tc>
          <w:tcPr>
            <w:tcW w:w="26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西北</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643" w:hRule="exact"/>
          <w:jc w:val="center"/>
        </w:trPr>
        <w:tc>
          <w:tcPr>
            <w:tcW w:w="3800" w:type="pct"/>
            <w:vMerge w:val="continue"/>
          </w:tcPr>
          <w:p>
            <w:pPr>
              <w:spacing w:line="240" w:lineRule="atLeast"/>
              <w:jc w:val="center"/>
              <w:rPr>
                <w:rFonts w:ascii="Times New Roman" w:hAnsi="Times New Roman" w:eastAsia="仿宋"/>
                <w:color w:val="auto"/>
              </w:rPr>
            </w:pPr>
          </w:p>
        </w:tc>
        <w:tc>
          <w:tcPr>
            <w:tcW w:w="607" w:type="pct"/>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highlight w:val="none"/>
                <w:lang w:val="en-US" w:eastAsia="zh-CN"/>
              </w:rPr>
              <w:t>华泰小学</w:t>
            </w:r>
          </w:p>
        </w:tc>
        <w:tc>
          <w:tcPr>
            <w:tcW w:w="321" w:type="pct"/>
            <w:vAlign w:val="center"/>
          </w:tcPr>
          <w:p>
            <w:pPr>
              <w:ind w:left="0" w:leftChars="0" w:firstLine="240" w:firstLineChars="100"/>
              <w:jc w:val="both"/>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330m</w:t>
            </w:r>
          </w:p>
        </w:tc>
        <w:tc>
          <w:tcPr>
            <w:tcW w:w="26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西</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703" w:hRule="exact"/>
          <w:jc w:val="center"/>
        </w:trPr>
        <w:tc>
          <w:tcPr>
            <w:tcW w:w="3800" w:type="pct"/>
            <w:vMerge w:val="continue"/>
          </w:tcPr>
          <w:p>
            <w:pPr>
              <w:spacing w:line="240" w:lineRule="atLeast"/>
              <w:jc w:val="center"/>
              <w:rPr>
                <w:rFonts w:ascii="Times New Roman" w:hAnsi="Times New Roman" w:eastAsia="仿宋"/>
                <w:color w:val="auto"/>
              </w:rPr>
            </w:pPr>
          </w:p>
        </w:tc>
        <w:tc>
          <w:tcPr>
            <w:tcW w:w="607" w:type="pct"/>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highlight w:val="none"/>
                <w:lang w:val="en-US" w:eastAsia="zh-CN"/>
              </w:rPr>
              <w:t>西安电力高等专科学校</w:t>
            </w:r>
          </w:p>
        </w:tc>
        <w:tc>
          <w:tcPr>
            <w:tcW w:w="321"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450m</w:t>
            </w:r>
          </w:p>
        </w:tc>
        <w:tc>
          <w:tcPr>
            <w:tcW w:w="26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东南</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688" w:hRule="exact"/>
          <w:jc w:val="center"/>
        </w:trPr>
        <w:tc>
          <w:tcPr>
            <w:tcW w:w="3800" w:type="pct"/>
            <w:vMerge w:val="continue"/>
          </w:tcPr>
          <w:p>
            <w:pPr>
              <w:spacing w:line="240" w:lineRule="atLeast"/>
              <w:jc w:val="center"/>
              <w:rPr>
                <w:rFonts w:ascii="Times New Roman" w:hAnsi="Times New Roman" w:eastAsia="仿宋"/>
                <w:color w:val="auto"/>
              </w:rPr>
            </w:pPr>
          </w:p>
        </w:tc>
        <w:tc>
          <w:tcPr>
            <w:tcW w:w="607" w:type="pct"/>
            <w:vAlign w:val="center"/>
          </w:tcPr>
          <w:p>
            <w:pPr>
              <w:ind w:left="0" w:leftChars="0" w:firstLine="0" w:firstLineChars="0"/>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highlight w:val="none"/>
                <w:lang w:val="en-US" w:eastAsia="zh-CN"/>
              </w:rPr>
              <w:t>幼优乐幼儿园</w:t>
            </w:r>
          </w:p>
        </w:tc>
        <w:tc>
          <w:tcPr>
            <w:tcW w:w="321"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125m</w:t>
            </w:r>
          </w:p>
        </w:tc>
        <w:tc>
          <w:tcPr>
            <w:tcW w:w="26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东北</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4215" w:hRule="exact"/>
          <w:jc w:val="center"/>
        </w:trPr>
        <w:tc>
          <w:tcPr>
            <w:tcW w:w="3800" w:type="pct"/>
            <w:vMerge w:val="continue"/>
          </w:tcPr>
          <w:p>
            <w:pPr>
              <w:spacing w:line="240" w:lineRule="atLeast"/>
              <w:jc w:val="center"/>
              <w:rPr>
                <w:rFonts w:ascii="Times New Roman" w:hAnsi="Times New Roman" w:eastAsia="仿宋"/>
                <w:color w:val="auto"/>
              </w:rPr>
            </w:pPr>
          </w:p>
        </w:tc>
        <w:tc>
          <w:tcPr>
            <w:tcW w:w="1199" w:type="pct"/>
            <w:gridSpan w:val="3"/>
            <w:vAlign w:val="center"/>
          </w:tcPr>
          <w:p>
            <w:pPr>
              <w:keepNext w:val="0"/>
              <w:keepLines w:val="0"/>
              <w:pageBreakBefore w:val="0"/>
              <w:widowControl w:val="0"/>
              <w:kinsoku/>
              <w:wordWrap/>
              <w:overflowPunct/>
              <w:topLinePunct w:val="0"/>
              <w:autoSpaceDE/>
              <w:autoSpaceDN/>
              <w:bidi w:val="0"/>
              <w:adjustRightInd w:val="0"/>
              <w:snapToGrid w:val="0"/>
              <w:spacing w:line="192" w:lineRule="auto"/>
              <w:jc w:val="center"/>
              <w:textAlignment w:val="auto"/>
              <w:rPr>
                <w:rFonts w:ascii="Times New Roman" w:hAnsi="Times New Roman" w:eastAsia="仿宋"/>
                <w:color w:val="auto"/>
                <w:szCs w:val="21"/>
              </w:rPr>
            </w:pPr>
            <w:r>
              <w:rPr>
                <w:rFonts w:hint="eastAsia" w:ascii="Times New Roman" w:hAnsi="Times New Roman" w:eastAsia="仿宋"/>
                <w:color w:val="auto"/>
                <w:szCs w:val="21"/>
                <w:lang w:val="en-US" w:eastAsia="zh-CN"/>
              </w:rPr>
              <w:t xml:space="preserve">      </w:t>
            </w:r>
            <w:r>
              <w:rPr>
                <w:rFonts w:ascii="Times New Roman" w:hAnsi="Times New Roman" w:eastAsia="仿宋"/>
                <w:color w:val="auto"/>
                <w:szCs w:val="21"/>
              </w:rPr>
              <w:t>图例</w:t>
            </w:r>
          </w:p>
          <w:p>
            <w:pPr>
              <w:keepNext w:val="0"/>
              <w:keepLines w:val="0"/>
              <w:pageBreakBefore w:val="0"/>
              <w:widowControl w:val="0"/>
              <w:kinsoku/>
              <w:wordWrap/>
              <w:overflowPunct/>
              <w:topLinePunct w:val="0"/>
              <w:autoSpaceDE/>
              <w:autoSpaceDN/>
              <w:bidi w:val="0"/>
              <w:spacing w:line="192" w:lineRule="auto"/>
              <w:ind w:firstLine="945" w:firstLineChars="450"/>
              <w:jc w:val="center"/>
              <w:textAlignment w:val="auto"/>
              <w:rPr>
                <w:rFonts w:ascii="Times New Roman" w:hAnsi="Times New Roman" w:eastAsia="仿宋"/>
                <w:color w:val="auto"/>
                <w:szCs w:val="21"/>
              </w:rPr>
            </w:pPr>
            <w:r>
              <w:rPr>
                <w:rFonts w:ascii="Times New Roman" w:hAnsi="Times New Roman" w:eastAsia="仿宋"/>
                <w:color w:val="auto"/>
                <w:szCs w:val="21"/>
              </w:rPr>
              <mc:AlternateContent>
                <mc:Choice Requires="wps">
                  <w:drawing>
                    <wp:anchor distT="0" distB="0" distL="114300" distR="114300" simplePos="0" relativeHeight="251664384" behindDoc="0" locked="0" layoutInCell="1" allowOverlap="1">
                      <wp:simplePos x="0" y="0"/>
                      <wp:positionH relativeFrom="column">
                        <wp:posOffset>916305</wp:posOffset>
                      </wp:positionH>
                      <wp:positionV relativeFrom="paragraph">
                        <wp:posOffset>43815</wp:posOffset>
                      </wp:positionV>
                      <wp:extent cx="153035" cy="76200"/>
                      <wp:effectExtent l="4445" t="4445" r="13970" b="14605"/>
                      <wp:wrapNone/>
                      <wp:docPr id="283" name="矩形 283"/>
                      <wp:cNvGraphicFramePr/>
                      <a:graphic xmlns:a="http://schemas.openxmlformats.org/drawingml/2006/main">
                        <a:graphicData uri="http://schemas.microsoft.com/office/word/2010/wordprocessingShape">
                          <wps:wsp>
                            <wps:cNvSpPr/>
                            <wps:spPr>
                              <a:xfrm>
                                <a:off x="0" y="0"/>
                                <a:ext cx="153035" cy="76200"/>
                              </a:xfrm>
                              <a:prstGeom prst="rect">
                                <a:avLst/>
                              </a:prstGeom>
                              <a:solidFill>
                                <a:srgbClr val="FFFF00"/>
                              </a:solidFill>
                              <a:ln w="9525" cap="flat" cmpd="sng">
                                <a:solidFill>
                                  <a:srgbClr val="FF0000"/>
                                </a:solidFill>
                                <a:prstDash val="solid"/>
                                <a:miter/>
                                <a:headEnd type="none" w="med" len="med"/>
                                <a:tailEnd type="none" w="med" len="med"/>
                              </a:ln>
                              <a:effectLst/>
                            </wps:spPr>
                            <wps:txbx>
                              <w:txbxContent>
                                <w:p/>
                              </w:txbxContent>
                            </wps:txbx>
                            <wps:bodyPr upright="1"/>
                          </wps:wsp>
                        </a:graphicData>
                      </a:graphic>
                    </wp:anchor>
                  </w:drawing>
                </mc:Choice>
                <mc:Fallback>
                  <w:pict>
                    <v:rect id="_x0000_s1026" o:spid="_x0000_s1026" o:spt="1" style="position:absolute;left:0pt;margin-left:72.15pt;margin-top:3.45pt;height:6pt;width:12.05pt;z-index:251664384;mso-width-relative:page;mso-height-relative:page;" fillcolor="#FFFF00" filled="t" stroked="t" coordsize="21600,21600" o:gfxdata="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EyVT1nZAAAACAEAAA8AAAAAAAAAAQAgAAAAIgAA&#10;AGRycy9kb3ducmV2LnhtbFBLAQIUABQAAAAIAIdO4kAwm/vPBwIAADkEAAAOAAAAAAAAAAEAIAAA&#10;ACgBAABkcnMvZTJvRG9jLnhtbFBLBQYAAAAABgAGAFkBAAChBQAAAAA=&#10;">
                      <v:fill on="t" focussize="0,0"/>
                      <v:stroke color="#FF0000" joinstyle="miter"/>
                      <v:imagedata o:title=""/>
                      <o:lock v:ext="edit" aspectratio="f"/>
                      <v:textbox>
                        <w:txbxContent>
                          <w:p/>
                        </w:txbxContent>
                      </v:textbox>
                    </v:rect>
                  </w:pict>
                </mc:Fallback>
              </mc:AlternateContent>
            </w:r>
            <w:r>
              <w:rPr>
                <w:rFonts w:ascii="Times New Roman" w:hAnsi="Times New Roman" w:eastAsia="仿宋"/>
                <w:color w:val="auto"/>
                <w:szCs w:val="21"/>
              </w:rPr>
              <w:t xml:space="preserve">   </w:t>
            </w:r>
            <w:r>
              <w:rPr>
                <w:rFonts w:hint="eastAsia" w:ascii="Times New Roman" w:hAnsi="Times New Roman" w:eastAsia="仿宋"/>
                <w:color w:val="auto"/>
                <w:szCs w:val="21"/>
                <w:lang w:val="en-US" w:eastAsia="zh-CN"/>
              </w:rPr>
              <w:t xml:space="preserve">     </w:t>
            </w:r>
            <w:r>
              <w:rPr>
                <w:rFonts w:ascii="Times New Roman" w:hAnsi="Times New Roman" w:eastAsia="仿宋"/>
                <w:color w:val="auto"/>
                <w:szCs w:val="21"/>
              </w:rPr>
              <w:t>环境保护目标</w:t>
            </w:r>
          </w:p>
          <w:p>
            <w:pPr>
              <w:keepNext w:val="0"/>
              <w:keepLines w:val="0"/>
              <w:pageBreakBefore w:val="0"/>
              <w:widowControl w:val="0"/>
              <w:kinsoku/>
              <w:wordWrap/>
              <w:overflowPunct/>
              <w:topLinePunct w:val="0"/>
              <w:autoSpaceDE/>
              <w:autoSpaceDN/>
              <w:bidi w:val="0"/>
              <w:spacing w:line="192" w:lineRule="auto"/>
              <w:ind w:firstLine="1890" w:firstLineChars="900"/>
              <w:jc w:val="both"/>
              <w:textAlignment w:val="auto"/>
              <w:rPr>
                <w:rFonts w:hint="eastAsia" w:ascii="Times New Roman" w:hAnsi="Times New Roman" w:eastAsia="仿宋" w:cs="Times New Roman"/>
                <w:color w:val="auto"/>
                <w:kern w:val="2"/>
                <w:sz w:val="24"/>
                <w:szCs w:val="24"/>
                <w:lang w:val="en-US" w:eastAsia="zh-CN" w:bidi="ar-SA"/>
              </w:rPr>
            </w:pPr>
            <w:r>
              <w:rPr>
                <w:rFonts w:ascii="Times New Roman" w:hAnsi="Times New Roman" w:eastAsia="仿宋"/>
                <w:color w:val="auto"/>
                <w:szCs w:val="21"/>
              </w:rPr>
              <mc:AlternateContent>
                <mc:Choice Requires="wps">
                  <w:drawing>
                    <wp:anchor distT="0" distB="0" distL="114300" distR="114300" simplePos="0" relativeHeight="251665408" behindDoc="0" locked="0" layoutInCell="1" allowOverlap="1">
                      <wp:simplePos x="0" y="0"/>
                      <wp:positionH relativeFrom="column">
                        <wp:posOffset>916305</wp:posOffset>
                      </wp:positionH>
                      <wp:positionV relativeFrom="paragraph">
                        <wp:posOffset>43815</wp:posOffset>
                      </wp:positionV>
                      <wp:extent cx="153035" cy="76200"/>
                      <wp:effectExtent l="4445" t="4445" r="13970" b="14605"/>
                      <wp:wrapNone/>
                      <wp:docPr id="284" name="矩形 284"/>
                      <wp:cNvGraphicFramePr/>
                      <a:graphic xmlns:a="http://schemas.openxmlformats.org/drawingml/2006/main">
                        <a:graphicData uri="http://schemas.microsoft.com/office/word/2010/wordprocessingShape">
                          <wps:wsp>
                            <wps:cNvSpPr/>
                            <wps:spPr>
                              <a:xfrm>
                                <a:off x="0" y="0"/>
                                <a:ext cx="153035" cy="76200"/>
                              </a:xfrm>
                              <a:prstGeom prst="rect">
                                <a:avLst/>
                              </a:prstGeom>
                              <a:solidFill>
                                <a:srgbClr val="FF0000"/>
                              </a:solidFill>
                              <a:ln w="9525" cap="flat" cmpd="sng">
                                <a:solidFill>
                                  <a:srgbClr val="FF0000"/>
                                </a:solidFill>
                                <a:prstDash val="solid"/>
                                <a:miter/>
                                <a:headEnd type="none" w="med" len="med"/>
                                <a:tailEnd type="none" w="med" len="med"/>
                              </a:ln>
                              <a:effectLst/>
                            </wps:spPr>
                            <wps:txbx>
                              <w:txbxContent>
                                <w:p/>
                              </w:txbxContent>
                            </wps:txbx>
                            <wps:bodyPr upright="1"/>
                          </wps:wsp>
                        </a:graphicData>
                      </a:graphic>
                    </wp:anchor>
                  </w:drawing>
                </mc:Choice>
                <mc:Fallback>
                  <w:pict>
                    <v:rect id="_x0000_s1026" o:spid="_x0000_s1026" o:spt="1" style="position:absolute;left:0pt;margin-left:72.15pt;margin-top:3.45pt;height:6pt;width:12.05pt;z-index:251665408;mso-width-relative:page;mso-height-relative:page;" fillcolor="#FF0000" filled="t" stroked="t" coordsize="21600,21600" o:gfxdata="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bwKq2AAAAAgBAAAPAAAAAAAAAAEAIAAAACIAAABkcnMv&#10;ZG93bnJldi54bWxQSwECFAAUAAAACACHTuJAA+b8wwMCAAA5BAAADgAAAAAAAAABACAAAAAnAQAA&#10;ZHJzL2Uyb0RvYy54bWxQSwUGAAAAAAYABgBZAQAAnAUAAAAA&#10;">
                      <v:fill on="t" focussize="0,0"/>
                      <v:stroke color="#FF0000" joinstyle="miter"/>
                      <v:imagedata o:title=""/>
                      <o:lock v:ext="edit" aspectratio="f"/>
                      <v:textbox>
                        <w:txbxContent>
                          <w:p/>
                        </w:txbxContent>
                      </v:textbox>
                    </v:rect>
                  </w:pict>
                </mc:Fallback>
              </mc:AlternateContent>
            </w:r>
            <w:r>
              <w:rPr>
                <w:rFonts w:ascii="Times New Roman" w:hAnsi="Times New Roman" w:eastAsia="仿宋"/>
                <w:color w:val="auto"/>
                <w:szCs w:val="21"/>
              </w:rPr>
              <w:t>项目所在地</w:t>
            </w:r>
          </w:p>
        </w:tc>
      </w:tr>
    </w:tbl>
    <w:p>
      <w:pPr>
        <w:rPr>
          <w:color w:val="auto"/>
        </w:rPr>
      </w:pPr>
    </w:p>
    <w:sectPr>
      <w:pgSz w:w="16838" w:h="11906" w:orient="landscape"/>
      <w:pgMar w:top="1134" w:right="1440" w:bottom="1134" w:left="1440" w:header="851" w:footer="992" w:gutter="0"/>
      <w:pgBorders>
        <w:top w:val="none" w:sz="0" w:space="0"/>
        <w:left w:val="none" w:sz="0" w:space="0"/>
        <w:bottom w:val="none" w:sz="0" w:space="0"/>
        <w:right w:val="none" w:sz="0" w:space="0"/>
      </w:pgBorders>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left="210"/>
      </w:pPr>
      <w:r>
        <w:separator/>
      </w:r>
    </w:p>
  </w:endnote>
  <w:endnote w:type="continuationSeparator" w:id="1">
    <w:p>
      <w:pPr>
        <w:ind w:left="21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西文正文">
    <w:altName w:val="AMGDT"/>
    <w:panose1 w:val="00000000000000000000"/>
    <w:charset w:val="00"/>
    <w:family w:val="auto"/>
    <w:pitch w:val="default"/>
    <w:sig w:usb0="00000000" w:usb1="00000000" w:usb2="00000000" w:usb3="00000000" w:csb0="00000000" w:csb1="00000000"/>
  </w:font>
  <w:font w:name="AMGDT">
    <w:panose1 w:val="02000400000000000000"/>
    <w:charset w:val="00"/>
    <w:family w:val="auto"/>
    <w:pitch w:val="default"/>
    <w:sig w:usb0="80000003" w:usb1="10000000" w:usb2="00000000" w:usb3="00000000" w:csb0="00000001" w:csb1="00000000"/>
  </w:font>
  <w:font w:name="+中文正文">
    <w:altName w:val="AMGDT"/>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Times">
    <w:altName w:val="Times New Roman"/>
    <w:panose1 w:val="02020603050405020304"/>
    <w:charset w:val="00"/>
    <w:family w:val="roman"/>
    <w:pitch w:val="default"/>
    <w:sig w:usb0="00000000" w:usb1="00000000" w:usb2="00000000" w:usb3="00000000" w:csb0="0000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rPr>
        <w:rFonts w:hint="default" w:ascii="Times New Roman" w:hAnsi="Times New Roman" w:eastAsia="宋体" w:cs="Times New Roman"/>
        <w:lang w:val="en-US" w:eastAsia="zh-CN"/>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pPr>
                      <w:pStyle w:val="11"/>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rPr>
        <w:rFonts w:hint="default" w:ascii="Times New Roman" w:hAnsi="Times New Roman" w:eastAsia="宋体" w:cs="Times New Roman"/>
        <w:lang w:val="en-US" w:eastAsia="zh-CN"/>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2</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xyswEzAgAAYw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9MrSgzTqPj5x/fz&#10;z9/nX98IziBQ7cIccQ8OkbF5Zxu0zXAecJh4N6XX6QtGBH7Ie7rIK5pIeLo0m85mY7g4fMMG+NnT&#10;dedDfC+sJsnIqUf9WlnZcRtiFzqEpGzGbqRSbQ2VIXVOr99ejd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xyswEzAgAAYwQAAA4AAAAAAAAAAQAgAAAAHwEAAGRycy9lMm9Eb2MueG1sUEsF&#10;BgAAAAAGAAYAWQEAAMQFAAAAAA==&#10;">
              <v:fill on="f" focussize="0,0"/>
              <v:stroke on="f" weight="0.5pt"/>
              <v:imagedata o:title=""/>
              <o:lock v:ext="edit" aspectratio="f"/>
              <v:textbox inset="0mm,0mm,0mm,0mm" style="mso-fit-shape-to-text:t;">
                <w:txbxContent>
                  <w:p>
                    <w:pPr>
                      <w:pStyle w:val="11"/>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2</w:t>
                    </w:r>
                    <w:r>
                      <w:rPr>
                        <w:rFonts w:hint="default" w:ascii="Times New Roman" w:hAnsi="Times New Roman" w:cs="Times New Roman"/>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left="210"/>
      </w:pPr>
      <w:r>
        <w:separator/>
      </w:r>
    </w:p>
  </w:footnote>
  <w:footnote w:type="continuationSeparator" w:id="1">
    <w:p>
      <w:pPr>
        <w:ind w:left="21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056308"/>
    <w:rsid w:val="006145FE"/>
    <w:rsid w:val="02CD4065"/>
    <w:rsid w:val="05335EEE"/>
    <w:rsid w:val="180517DA"/>
    <w:rsid w:val="21164B50"/>
    <w:rsid w:val="2983077C"/>
    <w:rsid w:val="2D18159A"/>
    <w:rsid w:val="30EC0404"/>
    <w:rsid w:val="3968238E"/>
    <w:rsid w:val="398A4654"/>
    <w:rsid w:val="3A40711C"/>
    <w:rsid w:val="3CF9307F"/>
    <w:rsid w:val="48BF1A8C"/>
    <w:rsid w:val="4ECD2394"/>
    <w:rsid w:val="53056308"/>
    <w:rsid w:val="55DD2422"/>
    <w:rsid w:val="63F5164E"/>
    <w:rsid w:val="6442415D"/>
    <w:rsid w:val="773973B9"/>
    <w:rsid w:val="7762586D"/>
    <w:rsid w:val="79B778D1"/>
    <w:rsid w:val="7AFE5047"/>
    <w:rsid w:val="7BFB369E"/>
    <w:rsid w:val="7CAA10A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qFormat="1" w:unhideWhenUsed="0" w:uiPriority="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qFormat="1"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ind w:left="210" w:leftChars="100"/>
      <w:jc w:val="both"/>
    </w:pPr>
    <w:rPr>
      <w:rFonts w:ascii="+西文正文" w:hAnsi="+西文正文" w:eastAsia="+中文正文" w:cstheme="minorBidi"/>
      <w:kern w:val="2"/>
      <w:sz w:val="21"/>
      <w:szCs w:val="24"/>
      <w:lang w:val="en-US" w:eastAsia="zh-CN" w:bidi="ar-SA"/>
    </w:rPr>
  </w:style>
  <w:style w:type="paragraph" w:styleId="3">
    <w:name w:val="heading 1"/>
    <w:basedOn w:val="1"/>
    <w:next w:val="1"/>
    <w:link w:val="22"/>
    <w:qFormat/>
    <w:uiPriority w:val="0"/>
    <w:pPr>
      <w:keepNext/>
      <w:keepLines/>
      <w:spacing w:before="340" w:beforeLines="0" w:beforeAutospacing="0" w:after="330" w:afterLines="0" w:afterAutospacing="0" w:line="240" w:lineRule="auto"/>
      <w:jc w:val="center"/>
      <w:outlineLvl w:val="0"/>
    </w:pPr>
    <w:rPr>
      <w:rFonts w:eastAsia="仿宋" w:asciiTheme="minorAscii" w:hAnsiTheme="minorAscii"/>
      <w:b/>
      <w:kern w:val="44"/>
      <w:sz w:val="30"/>
    </w:rPr>
  </w:style>
  <w:style w:type="paragraph" w:styleId="2">
    <w:name w:val="heading 2"/>
    <w:basedOn w:val="1"/>
    <w:next w:val="1"/>
    <w:semiHidden/>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qFormat/>
    <w:uiPriority w:val="0"/>
    <w:pPr>
      <w:keepNext/>
      <w:keepLines/>
      <w:adjustRightInd w:val="0"/>
      <w:snapToGrid w:val="0"/>
      <w:spacing w:line="360" w:lineRule="auto"/>
      <w:ind w:firstLine="560" w:firstLineChars="200"/>
      <w:outlineLvl w:val="2"/>
    </w:pPr>
    <w:rPr>
      <w:rFonts w:ascii="Times New Roman" w:hAnsi="Times New Roman" w:eastAsia="宋体"/>
      <w:b/>
      <w:bCs/>
      <w:sz w:val="28"/>
      <w:szCs w:val="32"/>
    </w:rPr>
  </w:style>
  <w:style w:type="character" w:default="1" w:styleId="18">
    <w:name w:val="Default Paragraph Font"/>
    <w:semiHidden/>
    <w:qFormat/>
    <w:uiPriority w:val="0"/>
  </w:style>
  <w:style w:type="table" w:default="1" w:styleId="16">
    <w:name w:val="Normal Table"/>
    <w:semiHidden/>
    <w:qFormat/>
    <w:uiPriority w:val="0"/>
    <w:tblPr>
      <w:tblCellMar>
        <w:top w:w="0" w:type="dxa"/>
        <w:left w:w="108" w:type="dxa"/>
        <w:bottom w:w="0" w:type="dxa"/>
        <w:right w:w="108" w:type="dxa"/>
      </w:tblCellMar>
    </w:tblPr>
  </w:style>
  <w:style w:type="paragraph" w:styleId="5">
    <w:name w:val="Normal Indent"/>
    <w:basedOn w:val="1"/>
    <w:next w:val="6"/>
    <w:qFormat/>
    <w:uiPriority w:val="0"/>
    <w:pPr>
      <w:ind w:firstLine="420"/>
    </w:pPr>
    <w:rPr>
      <w:rFonts w:ascii="Times New Roman" w:hAnsi="Times New Roman" w:eastAsia="宋体"/>
      <w:sz w:val="21"/>
    </w:rPr>
  </w:style>
  <w:style w:type="paragraph" w:customStyle="1" w:styleId="6">
    <w:name w:val="2007正文"/>
    <w:qFormat/>
    <w:uiPriority w:val="0"/>
    <w:pPr>
      <w:spacing w:line="500" w:lineRule="exact"/>
      <w:ind w:firstLine="560" w:firstLineChars="200"/>
      <w:jc w:val="both"/>
    </w:pPr>
    <w:rPr>
      <w:rFonts w:ascii="Times New Roman" w:hAnsi="Times New Roman" w:eastAsia="仿宋_GB2312" w:cs="Times New Roman"/>
      <w:kern w:val="2"/>
      <w:sz w:val="28"/>
      <w:lang w:val="en-GB" w:eastAsia="zh-CN" w:bidi="ar-SA"/>
    </w:rPr>
  </w:style>
  <w:style w:type="paragraph" w:styleId="7">
    <w:name w:val="Body Text"/>
    <w:basedOn w:val="1"/>
    <w:next w:val="1"/>
    <w:qFormat/>
    <w:uiPriority w:val="0"/>
    <w:rPr>
      <w:rFonts w:ascii="宋体" w:hAnsi="宋体" w:eastAsia="宋体" w:cs="宋体"/>
      <w:sz w:val="28"/>
      <w:szCs w:val="28"/>
    </w:rPr>
  </w:style>
  <w:style w:type="paragraph" w:styleId="8">
    <w:name w:val="Body Text Indent"/>
    <w:basedOn w:val="1"/>
    <w:next w:val="9"/>
    <w:qFormat/>
    <w:uiPriority w:val="0"/>
    <w:pPr>
      <w:spacing w:after="120"/>
      <w:ind w:left="420" w:leftChars="200"/>
    </w:pPr>
  </w:style>
  <w:style w:type="paragraph" w:styleId="9">
    <w:name w:val="Body Text First Indent 2"/>
    <w:basedOn w:val="1"/>
    <w:next w:val="1"/>
    <w:qFormat/>
    <w:uiPriority w:val="0"/>
    <w:pPr>
      <w:ind w:firstLine="420" w:firstLineChars="200"/>
    </w:pPr>
  </w:style>
  <w:style w:type="paragraph" w:styleId="10">
    <w:name w:val="index 3"/>
    <w:basedOn w:val="1"/>
    <w:next w:val="1"/>
    <w:semiHidden/>
    <w:qFormat/>
    <w:uiPriority w:val="0"/>
    <w:pPr>
      <w:widowControl w:val="0"/>
      <w:autoSpaceDE/>
      <w:autoSpaceDN/>
      <w:spacing w:before="0" w:after="0" w:line="240" w:lineRule="auto"/>
      <w:ind w:left="630" w:hanging="210"/>
    </w:pPr>
    <w:rPr>
      <w:rFonts w:ascii="Times New Roman" w:eastAsia="宋体"/>
      <w:sz w:val="18"/>
    </w:rPr>
  </w:style>
  <w:style w:type="paragraph" w:styleId="11">
    <w:name w:val="footer"/>
    <w:basedOn w:val="1"/>
    <w:qFormat/>
    <w:uiPriority w:val="99"/>
    <w:pPr>
      <w:tabs>
        <w:tab w:val="center" w:pos="4153"/>
        <w:tab w:val="right" w:pos="8306"/>
      </w:tabs>
      <w:snapToGrid w:val="0"/>
      <w:jc w:val="left"/>
    </w:pPr>
    <w:rPr>
      <w:sz w:val="18"/>
      <w:szCs w:val="18"/>
    </w:rPr>
  </w:style>
  <w:style w:type="paragraph" w:styleId="12">
    <w:name w:val="toc 1"/>
    <w:basedOn w:val="1"/>
    <w:next w:val="1"/>
    <w:uiPriority w:val="0"/>
  </w:style>
  <w:style w:type="paragraph" w:styleId="13">
    <w:name w:val="table of figures"/>
    <w:basedOn w:val="1"/>
    <w:next w:val="1"/>
    <w:qFormat/>
    <w:uiPriority w:val="0"/>
    <w:pPr>
      <w:ind w:leftChars="200" w:hanging="200" w:hangingChars="200"/>
    </w:pPr>
  </w:style>
  <w:style w:type="paragraph" w:styleId="14">
    <w:name w:val="toc 2"/>
    <w:basedOn w:val="1"/>
    <w:next w:val="1"/>
    <w:unhideWhenUsed/>
    <w:qFormat/>
    <w:uiPriority w:val="39"/>
    <w:pPr>
      <w:widowControl/>
      <w:spacing w:after="100" w:line="276" w:lineRule="auto"/>
      <w:ind w:left="220"/>
      <w:jc w:val="left"/>
    </w:pPr>
    <w:rPr>
      <w:rFonts w:ascii="Calibri" w:hAnsi="Calibri" w:eastAsia="宋体" w:cs="Times New Roman"/>
      <w:kern w:val="0"/>
      <w:sz w:val="22"/>
    </w:rPr>
  </w:style>
  <w:style w:type="paragraph" w:styleId="15">
    <w:name w:val="Normal (Web)"/>
    <w:basedOn w:val="1"/>
    <w:next w:val="10"/>
    <w:unhideWhenUsed/>
    <w:qFormat/>
    <w:uiPriority w:val="0"/>
    <w:pPr>
      <w:widowControl/>
      <w:spacing w:before="100" w:beforeAutospacing="1" w:after="100" w:afterAutospacing="1"/>
      <w:jc w:val="left"/>
    </w:pPr>
    <w:rPr>
      <w:rFonts w:ascii="宋体" w:hAnsi="宋体" w:cs="宋体"/>
      <w:color w:val="6600CC"/>
      <w:kern w:val="0"/>
      <w:sz w:val="24"/>
      <w:szCs w:val="20"/>
    </w:rPr>
  </w:style>
  <w:style w:type="table" w:styleId="17">
    <w:name w:val="Table Grid"/>
    <w:basedOn w:val="1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9">
    <w:name w:val="Default"/>
    <w:qFormat/>
    <w:uiPriority w:val="0"/>
    <w:pPr>
      <w:widowControl w:val="0"/>
      <w:autoSpaceDE w:val="0"/>
      <w:autoSpaceDN w:val="0"/>
      <w:adjustRightInd w:val="0"/>
    </w:pPr>
    <w:rPr>
      <w:rFonts w:ascii="黑体" w:hAnsi="Calibri" w:eastAsia="黑体" w:cs="黑体"/>
      <w:color w:val="000000"/>
      <w:kern w:val="0"/>
      <w:sz w:val="24"/>
      <w:szCs w:val="24"/>
      <w:lang w:val="en-US" w:eastAsia="zh-CN" w:bidi="ar-SA"/>
    </w:rPr>
  </w:style>
  <w:style w:type="paragraph" w:customStyle="1" w:styleId="20">
    <w:name w:val="WPSOffice手动目录 1"/>
    <w:qFormat/>
    <w:uiPriority w:val="0"/>
    <w:pPr>
      <w:ind w:leftChars="0"/>
    </w:pPr>
    <w:rPr>
      <w:rFonts w:asciiTheme="minorHAnsi" w:hAnsiTheme="minorHAnsi" w:eastAsiaTheme="minorEastAsia" w:cstheme="minorBidi"/>
      <w:sz w:val="20"/>
      <w:szCs w:val="20"/>
    </w:rPr>
  </w:style>
  <w:style w:type="paragraph" w:customStyle="1" w:styleId="21">
    <w:name w:val="WPSOffice手动目录 2"/>
    <w:qFormat/>
    <w:uiPriority w:val="0"/>
    <w:pPr>
      <w:ind w:leftChars="200"/>
    </w:pPr>
    <w:rPr>
      <w:rFonts w:asciiTheme="minorHAnsi" w:hAnsiTheme="minorHAnsi" w:eastAsiaTheme="minorEastAsia" w:cstheme="minorBidi"/>
      <w:sz w:val="20"/>
      <w:szCs w:val="20"/>
    </w:rPr>
  </w:style>
  <w:style w:type="character" w:customStyle="1" w:styleId="22">
    <w:name w:val="标题 1 Char"/>
    <w:link w:val="3"/>
    <w:qFormat/>
    <w:uiPriority w:val="0"/>
    <w:rPr>
      <w:rFonts w:eastAsia="仿宋" w:asciiTheme="minorAscii" w:hAnsiTheme="minorAscii"/>
      <w:b/>
      <w:kern w:val="44"/>
      <w:sz w:val="30"/>
    </w:rPr>
  </w:style>
  <w:style w:type="paragraph" w:styleId="23">
    <w:name w:val="List Paragraph"/>
    <w:basedOn w:val="1"/>
    <w:qFormat/>
    <w:uiPriority w:val="0"/>
    <w:pPr>
      <w:ind w:firstLine="420" w:firstLineChars="200"/>
    </w:pPr>
  </w:style>
  <w:style w:type="paragraph" w:customStyle="1" w:styleId="24">
    <w:name w:val="List Paragraph1"/>
    <w:basedOn w:val="1"/>
    <w:qFormat/>
    <w:uiPriority w:val="0"/>
    <w:pPr>
      <w:adjustRightInd/>
      <w:snapToGrid/>
      <w:spacing w:line="500" w:lineRule="exact"/>
      <w:ind w:firstLine="420"/>
    </w:pPr>
    <w:rPr>
      <w:rFonts w:eastAsia="宋体"/>
      <w:sz w:val="24"/>
    </w:rPr>
  </w:style>
  <w:style w:type="paragraph" w:customStyle="1" w:styleId="25">
    <w:name w:val="Attach."/>
    <w:basedOn w:val="1"/>
    <w:qFormat/>
    <w:uiPriority w:val="0"/>
    <w:pPr>
      <w:widowControl/>
      <w:tabs>
        <w:tab w:val="left" w:pos="7200"/>
      </w:tabs>
      <w:spacing w:after="200" w:line="276" w:lineRule="auto"/>
      <w:jc w:val="left"/>
    </w:pPr>
    <w:rPr>
      <w:rFonts w:ascii="Times" w:hAnsi="Times"/>
      <w:kern w:val="0"/>
      <w:sz w:val="24"/>
      <w:lang w:eastAsia="en-US" w:bidi="en-US"/>
    </w:rPr>
  </w:style>
  <w:style w:type="paragraph" w:customStyle="1" w:styleId="26">
    <w:name w:val="Table Paragraph"/>
    <w:basedOn w:val="1"/>
    <w:qFormat/>
    <w:uiPriority w:val="1"/>
    <w:pPr>
      <w:jc w:val="center"/>
    </w:pPr>
    <w:rPr>
      <w:rFonts w:ascii="仿宋" w:hAnsi="仿宋" w:eastAsia="仿宋" w:cs="仿宋"/>
      <w:lang w:val="zh-CN" w:eastAsia="zh-CN" w:bidi="zh-CN"/>
    </w:rPr>
  </w:style>
  <w:style w:type="paragraph" w:customStyle="1" w:styleId="27">
    <w:name w:val="列出段落1"/>
    <w:basedOn w:val="1"/>
    <w:qFormat/>
    <w:uiPriority w:val="0"/>
    <w:pPr>
      <w:ind w:firstLine="420" w:firstLineChars="200"/>
    </w:pPr>
  </w:style>
  <w:style w:type="paragraph" w:customStyle="1" w:styleId="28">
    <w:name w:val="表格内容"/>
    <w:basedOn w:val="5"/>
    <w:qFormat/>
    <w:uiPriority w:val="0"/>
    <w:pPr>
      <w:spacing w:line="312" w:lineRule="auto"/>
      <w:ind w:firstLine="0" w:firstLineChars="0"/>
      <w:jc w:val="center"/>
    </w:pPr>
    <w:rPr>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oleObject" Target="embeddings/oleObject3.bin"/><Relationship Id="rId14" Type="http://schemas.openxmlformats.org/officeDocument/2006/relationships/image" Target="media/image5.wmf"/><Relationship Id="rId13" Type="http://schemas.openxmlformats.org/officeDocument/2006/relationships/oleObject" Target="embeddings/oleObject2.bin"/><Relationship Id="rId12" Type="http://schemas.openxmlformats.org/officeDocument/2006/relationships/image" Target="media/image4.emf"/><Relationship Id="rId11" Type="http://schemas.openxmlformats.org/officeDocument/2006/relationships/oleObject" Target="embeddings/oleObject1.bin"/><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5</TotalTime>
  <ScaleCrop>false</ScaleCrop>
  <LinksUpToDate>false</LinksUpToDate>
  <CharactersWithSpaces>0</CharactersWithSpaces>
  <Application>WPS Office_11.1.0.11411_F1E327BC-269C-435d-A152-05C5408002CA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2022-09-08T00:52:00Z</dcterms:created>
  <dc:creator>L</dc:creator>
  <cp:lastModifiedBy>L</cp:lastModifiedBy>
  <dcterms:modified xsi:type="dcterms:W3CDTF">2022-10-26T10:08:35Z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2052-11.1.0.11411</vt:lpwstr>
  </property>
  <property fmtid="{D5CDD505-2E9C-101B-9397-08002B2CF9AE}" pid="3" name="ICV">
    <vt:lpwstr>A684144FC838402D956E5CC5B6A34AFD</vt:lpwstr>
  </property>
</Properties>
</file>